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18363" w14:textId="77777777" w:rsidR="0009470D" w:rsidRDefault="00B86CE1"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14:anchorId="3CCFDD73" wp14:editId="0D6F545B">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7C5A459A" w14:textId="77777777" w:rsidR="00B076DB" w:rsidRDefault="00B86CE1" w:rsidP="00A66941">
      <w:pPr>
        <w:ind w:right="419"/>
        <w:rPr>
          <w:color w:val="595959" w:themeColor="text1" w:themeTint="A6"/>
          <w:sz w:val="28"/>
          <w:szCs w:val="28"/>
        </w:rPr>
      </w:pPr>
      <w:r w:rsidRPr="00BE480F">
        <w:rPr>
          <w:noProof/>
          <w:lang w:val="en-AU" w:eastAsia="en-AU"/>
        </w:rPr>
        <w:drawing>
          <wp:anchor distT="0" distB="0" distL="114300" distR="114300" simplePos="0" relativeHeight="251663360" behindDoc="1" locked="0" layoutInCell="1" allowOverlap="1" wp14:anchorId="0303D6CB" wp14:editId="4553D1E8">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Bunyip Primary School (2229)</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903DBB" w14:paraId="1A4C4A20" w14:textId="77777777" w:rsidTr="00130771">
        <w:trPr>
          <w:trHeight w:val="11387"/>
        </w:trPr>
        <w:tc>
          <w:tcPr>
            <w:tcW w:w="3544" w:type="dxa"/>
          </w:tcPr>
          <w:p w14:paraId="2E2D2094" w14:textId="77777777" w:rsidR="00BE480F" w:rsidRPr="00BE480F" w:rsidRDefault="00B86CE1"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14:anchorId="3BA898E9" wp14:editId="4DFEF524">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3DBB" w14:paraId="656F4EAB" w14:textId="77777777" w:rsidTr="00130771">
                                    <w:trPr>
                                      <w:trHeight w:val="18"/>
                                    </w:trPr>
                                    <w:tc>
                                      <w:tcPr>
                                        <w:tcW w:w="10773" w:type="dxa"/>
                                        <w:vAlign w:val="center"/>
                                      </w:tcPr>
                                      <w:p w14:paraId="67F05B3C" w14:textId="77777777" w:rsidR="00A66941" w:rsidRPr="009D4C10" w:rsidRDefault="00B86CE1"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0AE90DD4" w14:textId="77777777" w:rsidR="00A66941" w:rsidRPr="009D4C10" w:rsidRDefault="00B86CE1"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29C42940" w14:textId="77777777" w:rsidR="00A66941" w:rsidRDefault="00B86CE1"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903DBB" w14:paraId="35BC2CC2" w14:textId="77777777" w:rsidTr="00130771">
                                    <w:trPr>
                                      <w:trHeight w:val="48"/>
                                    </w:trPr>
                                    <w:tc>
                                      <w:tcPr>
                                        <w:tcW w:w="10773" w:type="dxa"/>
                                      </w:tcPr>
                                      <w:p w14:paraId="7A29EED4" w14:textId="77777777" w:rsidR="00A66941" w:rsidRDefault="00B86CE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03 May 2022 at 12:54 PM by Jenny Dowsett (Principal)</w:t>
                                        </w:r>
                                      </w:p>
                                    </w:tc>
                                  </w:tr>
                                </w:tbl>
                                <w:p w14:paraId="0F0DDE21" w14:textId="77777777" w:rsidR="00A66941" w:rsidRDefault="00B86CE1"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3DBB" w14:paraId="404A8057" w14:textId="77777777" w:rsidTr="00130771">
                                    <w:trPr>
                                      <w:trHeight w:val="114"/>
                                    </w:trPr>
                                    <w:tc>
                                      <w:tcPr>
                                        <w:tcW w:w="10773" w:type="dxa"/>
                                        <w:vAlign w:val="center"/>
                                      </w:tcPr>
                                      <w:p w14:paraId="220F4EB0" w14:textId="77777777" w:rsidR="00A66941" w:rsidRDefault="00B86CE1"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903DBB" w14:paraId="485525A5" w14:textId="77777777" w:rsidTr="00130771">
                                    <w:trPr>
                                      <w:trHeight w:val="274"/>
                                    </w:trPr>
                                    <w:tc>
                                      <w:tcPr>
                                        <w:tcW w:w="10773" w:type="dxa"/>
                                      </w:tcPr>
                                      <w:p w14:paraId="052A719C" w14:textId="77777777" w:rsidR="00A66941" w:rsidRDefault="00B86CE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14 July 2022 at 12:25 PM by Tim Blackley (School Council </w:t>
                                        </w:r>
                                        <w:r w:rsidRPr="004C76A5">
                                          <w:rPr>
                                            <w:rFonts w:eastAsia="Arial"/>
                                            <w:noProof/>
                                            <w:color w:val="AF272F"/>
                                          </w:rPr>
                                          <w:t>President)</w:t>
                                        </w:r>
                                      </w:p>
                                    </w:tc>
                                  </w:tr>
                                </w:tbl>
                                <w:p w14:paraId="0591F8B9" w14:textId="77777777" w:rsidR="00A66941" w:rsidRDefault="00B86CE1" w:rsidP="00177D7F"/>
                              </w:txbxContent>
                            </wps:txbx>
                            <wps:bodyPr rot="0" vert="horz" wrap="square" anchor="t" anchorCtr="0" upright="1"/>
                          </wps:wsp>
                        </a:graphicData>
                      </a:graphic>
                    </wp:anchor>
                  </w:drawing>
                </mc:Choice>
                <mc:Fallback>
                  <w:pict>
                    <v:shapetype w14:anchorId="3BA898E9" id="_x0000_t202" coordsize="21600,21600" o:spt="202" path="m,l,21600r21600,l21600,xe">
                      <v:stroke joinstyle="miter"/>
                      <v:path gradientshapeok="t" o:connecttype="rect"/>
                    </v:shapetype>
                    <v:shape id="Text Box 1" o:spid="_x0000_s1026" type="#_x0000_t202" style="position:absolute;left:0;text-align:left;margin-left:-11pt;margin-top:131.2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&#13;&#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3DBB" w14:paraId="656F4EAB" w14:textId="77777777" w:rsidTr="00130771">
                              <w:trPr>
                                <w:trHeight w:val="18"/>
                              </w:trPr>
                              <w:tc>
                                <w:tcPr>
                                  <w:tcW w:w="10773" w:type="dxa"/>
                                  <w:vAlign w:val="center"/>
                                </w:tcPr>
                                <w:p w14:paraId="67F05B3C" w14:textId="77777777" w:rsidR="00A66941" w:rsidRPr="009D4C10" w:rsidRDefault="00B86CE1"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14:paraId="0AE90DD4" w14:textId="77777777" w:rsidR="00A66941" w:rsidRPr="009D4C10" w:rsidRDefault="00B86CE1"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29C42940" w14:textId="77777777" w:rsidR="00A66941" w:rsidRDefault="00B86CE1"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903DBB" w14:paraId="35BC2CC2" w14:textId="77777777" w:rsidTr="00130771">
                              <w:trPr>
                                <w:trHeight w:val="48"/>
                              </w:trPr>
                              <w:tc>
                                <w:tcPr>
                                  <w:tcW w:w="10773" w:type="dxa"/>
                                </w:tcPr>
                                <w:p w14:paraId="7A29EED4" w14:textId="77777777" w:rsidR="00A66941" w:rsidRDefault="00B86CE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03 May 2022 at 12:54 PM by Jenny Dowsett (Principal)</w:t>
                                  </w:r>
                                </w:p>
                              </w:tc>
                            </w:tr>
                          </w:tbl>
                          <w:p w14:paraId="0F0DDE21" w14:textId="77777777" w:rsidR="00A66941" w:rsidRDefault="00B86CE1"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903DBB" w14:paraId="404A8057" w14:textId="77777777" w:rsidTr="00130771">
                              <w:trPr>
                                <w:trHeight w:val="114"/>
                              </w:trPr>
                              <w:tc>
                                <w:tcPr>
                                  <w:tcW w:w="10773" w:type="dxa"/>
                                  <w:vAlign w:val="center"/>
                                </w:tcPr>
                                <w:p w14:paraId="220F4EB0" w14:textId="77777777" w:rsidR="00A66941" w:rsidRDefault="00B86CE1"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903DBB" w14:paraId="485525A5" w14:textId="77777777" w:rsidTr="00130771">
                              <w:trPr>
                                <w:trHeight w:val="274"/>
                              </w:trPr>
                              <w:tc>
                                <w:tcPr>
                                  <w:tcW w:w="10773" w:type="dxa"/>
                                </w:tcPr>
                                <w:p w14:paraId="052A719C" w14:textId="77777777" w:rsidR="00A66941" w:rsidRDefault="00B86CE1"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 xml:space="preserve">Attested on 14 July 2022 at 12:25 PM by Tim Blackley (School Council </w:t>
                                  </w:r>
                                  <w:r w:rsidRPr="004C76A5">
                                    <w:rPr>
                                      <w:rFonts w:eastAsia="Arial"/>
                                      <w:noProof/>
                                      <w:color w:val="AF272F"/>
                                    </w:rPr>
                                    <w:t>President)</w:t>
                                  </w:r>
                                </w:p>
                              </w:tc>
                            </w:tr>
                          </w:tbl>
                          <w:p w14:paraId="0591F8B9" w14:textId="77777777" w:rsidR="00A66941" w:rsidRDefault="00B86CE1" w:rsidP="00177D7F"/>
                        </w:txbxContent>
                      </v:textbox>
                      <w10:wrap anchorx="margin"/>
                    </v:shape>
                  </w:pict>
                </mc:Fallback>
              </mc:AlternateContent>
            </w:r>
            <w:r>
              <w:rPr>
                <w:noProof/>
                <w:color w:val="595959" w:themeColor="text1" w:themeTint="A6"/>
              </w:rPr>
              <w:drawing>
                <wp:anchor distT="0" distB="0" distL="114300" distR="114300" simplePos="0" relativeHeight="251660288" behindDoc="1" locked="0" layoutInCell="1" allowOverlap="1" wp14:anchorId="490F3F64" wp14:editId="68FFCCF2">
                  <wp:simplePos x="0" y="0"/>
                  <wp:positionH relativeFrom="page">
                    <wp:align>left</wp:align>
                  </wp:positionH>
                  <wp:positionV relativeFrom="paragraph">
                    <wp:posOffset>0</wp:posOffset>
                  </wp:positionV>
                  <wp:extent cx="1400370"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00370" cy="1428949"/>
                          </a:xfrm>
                          <a:prstGeom prst="rect">
                            <a:avLst/>
                          </a:prstGeom>
                        </pic:spPr>
                      </pic:pic>
                    </a:graphicData>
                  </a:graphic>
                </wp:anchor>
              </w:drawing>
            </w:r>
          </w:p>
        </w:tc>
        <w:tc>
          <w:tcPr>
            <w:tcW w:w="6946" w:type="dxa"/>
          </w:tcPr>
          <w:p w14:paraId="14479C85" w14:textId="77777777" w:rsidR="00BE480F" w:rsidRDefault="00B86CE1" w:rsidP="006932E3">
            <w:pPr>
              <w:ind w:right="419"/>
              <w:rPr>
                <w:color w:val="595959" w:themeColor="text1" w:themeTint="A6"/>
              </w:rPr>
            </w:pPr>
          </w:p>
        </w:tc>
      </w:tr>
    </w:tbl>
    <w:p w14:paraId="7BC45CC0" w14:textId="77777777" w:rsidR="00BE480F" w:rsidRDefault="00B86CE1" w:rsidP="00AF1438">
      <w:pPr>
        <w:ind w:left="540" w:right="419"/>
        <w:rPr>
          <w:color w:val="595959" w:themeColor="text1" w:themeTint="A6"/>
        </w:rPr>
      </w:pPr>
    </w:p>
    <w:p w14:paraId="37273B9E" w14:textId="77777777" w:rsidR="00481904" w:rsidRDefault="00B86CE1"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7726FEA0" w14:textId="77777777" w:rsidR="005568AC" w:rsidRDefault="00B86CE1" w:rsidP="0050417D">
      <w:pPr>
        <w:pStyle w:val="ESHeading10"/>
        <w:spacing w:after="0" w:line="240" w:lineRule="auto"/>
      </w:pPr>
      <w:r>
        <w:lastRenderedPageBreak/>
        <w:t>How to read the Annual Report</w:t>
      </w:r>
    </w:p>
    <w:p w14:paraId="2E034559" w14:textId="77777777" w:rsidR="00737A25" w:rsidRPr="006825C7" w:rsidRDefault="00B86CE1" w:rsidP="00737A25">
      <w:pPr>
        <w:pStyle w:val="Style10"/>
        <w:spacing w:before="0" w:after="120"/>
      </w:pPr>
      <w:r w:rsidRPr="006825C7">
        <w:t xml:space="preserve">What does the </w:t>
      </w:r>
      <w:r>
        <w:rPr>
          <w:i/>
          <w:iCs/>
        </w:rPr>
        <w:t>‘A</w:t>
      </w:r>
      <w:r w:rsidRPr="00620299">
        <w:rPr>
          <w:i/>
          <w:iCs/>
        </w:rPr>
        <w:t>bout Our Schoo</w:t>
      </w:r>
      <w:r w:rsidRPr="00620299">
        <w:rPr>
          <w:i/>
          <w:iCs/>
        </w:rPr>
        <w:t>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4E883FAC" w14:textId="77777777" w:rsidR="00737A25" w:rsidRPr="00783E13" w:rsidRDefault="00B86CE1" w:rsidP="00737A25">
      <w:pPr>
        <w:pStyle w:val="ESBodyText0"/>
        <w:spacing w:line="240" w:lineRule="auto"/>
      </w:pPr>
      <w:bookmarkStart w:id="0" w:name="_Hlk64366941"/>
      <w:r w:rsidRPr="00783E13">
        <w:t xml:space="preserve">The </w:t>
      </w:r>
      <w:r>
        <w:t>‘</w:t>
      </w:r>
      <w:r w:rsidRPr="00783E13">
        <w:t xml:space="preserve">About </w:t>
      </w:r>
      <w:r>
        <w:t>o</w:t>
      </w:r>
      <w:r w:rsidRPr="00783E13">
        <w:t xml:space="preserve">ur </w:t>
      </w:r>
      <w:r>
        <w:t>s</w:t>
      </w:r>
      <w:r w:rsidRPr="00783E13">
        <w:t>chool</w:t>
      </w:r>
      <w:r>
        <w:t>’ commentary</w:t>
      </w:r>
      <w:r w:rsidRPr="00783E13">
        <w:t xml:space="preserve"> provides a brief background on the school, an outline of the school’s performance over the year and future directions.</w:t>
      </w:r>
    </w:p>
    <w:p w14:paraId="5BFF893E" w14:textId="77777777" w:rsidR="00737A25" w:rsidRPr="00783E13" w:rsidRDefault="00B86CE1" w:rsidP="00737A25">
      <w:pPr>
        <w:pStyle w:val="ESBodyText0"/>
        <w:spacing w:line="240" w:lineRule="auto"/>
      </w:pPr>
      <w:r w:rsidRPr="00783E13">
        <w:t>The ‘School Context’ describes the school’s vision, valu</w:t>
      </w:r>
      <w:r w:rsidRPr="00783E13">
        <w:t>es and purpose. Details include the school’s geographic location, size and structure, social characteristics, enrolment characteristics and special programs.</w:t>
      </w:r>
    </w:p>
    <w:p w14:paraId="7540EE9B" w14:textId="77777777" w:rsidR="00737A25" w:rsidRDefault="00B86CE1" w:rsidP="00737A25">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achieving them</w:t>
      </w:r>
      <w:r>
        <w:t xml:space="preserve"> through the implementation of their School Strategic Plan and Annual Implementation Plan</w:t>
      </w:r>
      <w:r>
        <w:t>.</w:t>
      </w:r>
      <w:bookmarkEnd w:id="0"/>
    </w:p>
    <w:p w14:paraId="570E9D67" w14:textId="77777777" w:rsidR="00737A25" w:rsidRPr="00620299" w:rsidRDefault="00B86CE1"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66B9643D" w14:textId="77777777" w:rsidR="00737A25" w:rsidRDefault="00B86CE1" w:rsidP="00737A25">
      <w:pPr>
        <w:spacing w:line="240" w:lineRule="auto"/>
        <w:rPr>
          <w:rFonts w:eastAsia="Arial" w:cs="Times New Roman"/>
          <w:color w:val="000000"/>
          <w:szCs w:val="20"/>
        </w:rPr>
      </w:pPr>
      <w:r>
        <w:rPr>
          <w:rFonts w:eastAsia="Arial" w:cs="Times New Roman"/>
          <w:color w:val="000000"/>
          <w:szCs w:val="20"/>
        </w:rPr>
        <w:t>The P</w:t>
      </w:r>
      <w:r>
        <w:rPr>
          <w:rFonts w:eastAsia="Arial" w:cs="Times New Roman"/>
          <w:color w:val="000000"/>
          <w:szCs w:val="20"/>
        </w:rPr>
        <w:t>erformance Summary includes the following:</w:t>
      </w:r>
    </w:p>
    <w:p w14:paraId="7147609C" w14:textId="77777777" w:rsidR="00737A25" w:rsidRDefault="00B86CE1"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5A522274" w14:textId="77777777" w:rsidR="00737A25" w:rsidRDefault="00B86CE1"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1C0097A1" w14:textId="77777777" w:rsidR="00737A25" w:rsidRPr="00A14E75" w:rsidRDefault="00B86CE1"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5DC5CD02" w14:textId="77777777" w:rsidR="00737A25" w:rsidRPr="00A14E75" w:rsidRDefault="00B86CE1"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w:t>
      </w:r>
      <w:r>
        <w:rPr>
          <w:rFonts w:eastAsia="Arial" w:cs="Times New Roman"/>
          <w:bCs/>
          <w:color w:val="000000"/>
          <w:szCs w:val="20"/>
        </w:rPr>
        <w:t>ary schools</w:t>
      </w:r>
    </w:p>
    <w:p w14:paraId="0856B78C" w14:textId="77777777" w:rsidR="00737A25" w:rsidRDefault="00B86CE1"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14:paraId="01CC25F8" w14:textId="77777777" w:rsidR="00737A25" w:rsidRDefault="00B86CE1" w:rsidP="00737A25">
      <w:pPr>
        <w:spacing w:line="240" w:lineRule="auto"/>
        <w:ind w:left="720"/>
        <w:rPr>
          <w:rFonts w:eastAsia="Arial" w:cs="Times New Roman"/>
          <w:b/>
          <w:color w:val="000000"/>
          <w:szCs w:val="20"/>
        </w:rPr>
      </w:pPr>
      <w:r>
        <w:rPr>
          <w:rFonts w:eastAsia="Arial" w:cs="Times New Roman"/>
          <w:b/>
          <w:color w:val="000000"/>
          <w:szCs w:val="20"/>
        </w:rPr>
        <w:t>Achievement</w:t>
      </w:r>
    </w:p>
    <w:p w14:paraId="0FD93FBD" w14:textId="77777777" w:rsidR="00737A25" w:rsidRDefault="00B86CE1"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1C6EE252" w14:textId="77777777" w:rsidR="00737A25" w:rsidRDefault="00B86CE1"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64ED3828" w14:textId="77777777" w:rsidR="00737A25" w:rsidRDefault="00B86CE1"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7B904499" w14:textId="77777777" w:rsidR="00737A25" w:rsidRDefault="00B86CE1" w:rsidP="00737A25">
      <w:pPr>
        <w:spacing w:after="200" w:line="240" w:lineRule="auto"/>
        <w:ind w:left="720"/>
        <w:rPr>
          <w:rFonts w:eastAsia="Arial" w:cs="Times New Roman"/>
          <w:color w:val="000000"/>
          <w:szCs w:val="20"/>
        </w:rPr>
      </w:pPr>
      <w:r>
        <w:rPr>
          <w:rFonts w:eastAsia="Arial" w:cs="Times New Roman"/>
          <w:color w:val="000000"/>
          <w:szCs w:val="20"/>
        </w:rPr>
        <w:t>Student attendance at school</w:t>
      </w:r>
    </w:p>
    <w:p w14:paraId="68A49B43" w14:textId="77777777" w:rsidR="00737A25" w:rsidRDefault="00B86CE1" w:rsidP="00737A25">
      <w:pPr>
        <w:spacing w:line="240" w:lineRule="auto"/>
        <w:ind w:left="720"/>
        <w:rPr>
          <w:rFonts w:eastAsia="Arial" w:cs="Times New Roman"/>
          <w:b/>
          <w:color w:val="000000"/>
          <w:szCs w:val="20"/>
        </w:rPr>
      </w:pPr>
      <w:r>
        <w:rPr>
          <w:rFonts w:eastAsia="Arial" w:cs="Times New Roman"/>
          <w:b/>
          <w:color w:val="000000"/>
          <w:szCs w:val="20"/>
        </w:rPr>
        <w:t>Wellbeing</w:t>
      </w:r>
    </w:p>
    <w:p w14:paraId="0DE558F2" w14:textId="77777777" w:rsidR="00737A25" w:rsidRDefault="00B86CE1" w:rsidP="00737A2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3291FC34" w14:textId="77777777" w:rsidR="00737A25" w:rsidRDefault="00B86CE1"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25852AE3" w14:textId="77777777" w:rsidR="00737A25" w:rsidRDefault="00B86CE1"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00CB11B2" w14:textId="77777777" w:rsidR="00737A25" w:rsidRDefault="00B86CE1" w:rsidP="00737A25">
      <w:pPr>
        <w:pStyle w:val="ESBodyText0"/>
        <w:spacing w:after="240" w:line="240" w:lineRule="auto"/>
      </w:pPr>
      <w:r>
        <w:t>Results are displayed</w:t>
      </w:r>
      <w:r>
        <w:t xml:space="preserve"> for the latest year and the average of the last four years (where available).</w:t>
      </w:r>
      <w:r>
        <w:t xml:space="preserve"> </w:t>
      </w:r>
      <w:r w:rsidRPr="00AF4BF6">
        <w:t xml:space="preserve">As NAPLAN tests were not conducted in 2020, the NAPLAN 4-year average is the average of 2018, 2019 and 2021 data in the 2021 </w:t>
      </w:r>
      <w:r>
        <w:t>Performance Summary.</w:t>
      </w:r>
    </w:p>
    <w:p w14:paraId="09729B3B" w14:textId="77777777" w:rsidR="00AF4BF6" w:rsidRPr="001D3C2B" w:rsidRDefault="00B86CE1" w:rsidP="00AF4BF6">
      <w:pPr>
        <w:pStyle w:val="Style10"/>
        <w:spacing w:before="0" w:after="120"/>
      </w:pPr>
      <w:r w:rsidRPr="00AF4BF6">
        <w:t xml:space="preserve">Considering COVID-19 when </w:t>
      </w:r>
      <w:r w:rsidRPr="00AF4BF6">
        <w:t>interpreting the Performance Summary</w:t>
      </w:r>
    </w:p>
    <w:p w14:paraId="0CB9D771" w14:textId="77777777" w:rsidR="00AF4BF6" w:rsidRPr="003F1321" w:rsidRDefault="00B86CE1" w:rsidP="00AF4BF6">
      <w:pPr>
        <w:pStyle w:val="ESBodyText0"/>
        <w:spacing w:line="240" w:lineRule="auto"/>
      </w:pPr>
      <w:bookmarkStart w:id="1" w:name="_Hlk64558266"/>
      <w:bookmarkStart w:id="2" w:name="_Hlk64558033"/>
      <w:r w:rsidRPr="003F1321">
        <w:t>The Victorian community's experience of COVID-19, including remote and flexible learning, had a significant impact on normal school operations</w:t>
      </w:r>
      <w:r>
        <w:t xml:space="preserve"> in 2020 and 2021</w:t>
      </w:r>
      <w:r w:rsidRPr="003F1321">
        <w:t>. This impacted the conduct of assessments and surveys. Read</w:t>
      </w:r>
      <w:r w:rsidRPr="003F1321">
        <w:t>ers should be aware of this when interpreting the Performance Summary.</w:t>
      </w:r>
    </w:p>
    <w:p w14:paraId="508AC116" w14:textId="77777777" w:rsidR="00AF4BF6" w:rsidRDefault="00B86CE1" w:rsidP="00AF4BF6">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Absence and attendance data </w:t>
      </w:r>
      <w:r>
        <w:t xml:space="preserve">during this period </w:t>
      </w:r>
      <w:r w:rsidRPr="003F1321">
        <w:t>may have been in</w:t>
      </w:r>
      <w:r w:rsidRPr="003F1321">
        <w:t>fluenced by local processes and procedures adopted in response to remote and flexible learning.</w:t>
      </w:r>
    </w:p>
    <w:p w14:paraId="761E3F92" w14:textId="77777777" w:rsidR="00737A25" w:rsidRDefault="00B86CE1" w:rsidP="00AF4BF6">
      <w:pPr>
        <w:pStyle w:val="ESBodyText0"/>
        <w:spacing w:line="240" w:lineRule="auto"/>
      </w:pPr>
      <w:r w:rsidRPr="003F1321">
        <w:t>Schools should keep this in mind when using this data for planning and evaluation purposes.</w:t>
      </w:r>
      <w:bookmarkEnd w:id="1"/>
      <w:bookmarkEnd w:id="2"/>
      <w:r>
        <w:br w:type="page"/>
      </w:r>
    </w:p>
    <w:p w14:paraId="0179ACA5" w14:textId="77777777" w:rsidR="00E550AF" w:rsidRDefault="00B86CE1" w:rsidP="00E550AF">
      <w:pPr>
        <w:pStyle w:val="ESHeading10"/>
        <w:spacing w:after="0" w:line="240" w:lineRule="auto"/>
      </w:pPr>
      <w:r>
        <w:lastRenderedPageBreak/>
        <w:t>How to read the Annual Report (continued)</w:t>
      </w:r>
    </w:p>
    <w:p w14:paraId="33E0D8EF" w14:textId="77777777" w:rsidR="005568AC" w:rsidRDefault="00B86CE1"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53EF1BFF" w14:textId="77777777" w:rsidR="000D7D46" w:rsidRDefault="00B86CE1"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1711DC72" w14:textId="77777777" w:rsidR="00E550AF" w:rsidRPr="00E550AF" w:rsidRDefault="00B86CE1" w:rsidP="000D7D46">
      <w:pPr>
        <w:pStyle w:val="Body2"/>
        <w:spacing w:after="240" w:line="240" w:lineRule="auto"/>
        <w:rPr>
          <w:rFonts w:eastAsiaTheme="majorEastAsia" w:cstheme="majorBidi"/>
          <w:bCs/>
        </w:rPr>
      </w:pPr>
      <w:r>
        <w:rPr>
          <w:rFonts w:eastAsia="Arial"/>
          <w:color w:val="000000"/>
        </w:rPr>
        <w:t xml:space="preserve">This grouping of schools has been created by comparing each school’s socio-economic background of students, the number of </w:t>
      </w:r>
      <w:r>
        <w:rPr>
          <w:rFonts w:eastAsia="Arial"/>
          <w:color w:val="000000"/>
        </w:rPr>
        <w:t>non-English speaking students and the school’s size and location.</w:t>
      </w:r>
    </w:p>
    <w:p w14:paraId="2342B245" w14:textId="77777777" w:rsidR="005568AC" w:rsidRDefault="00B86CE1" w:rsidP="0050417D">
      <w:pPr>
        <w:pStyle w:val="H2Line"/>
        <w:spacing w:before="0" w:after="120"/>
      </w:pPr>
      <w:r>
        <w:t xml:space="preserve">What does </w:t>
      </w:r>
      <w:r>
        <w:rPr>
          <w:i/>
        </w:rPr>
        <w:t>‘</w:t>
      </w:r>
      <w:r>
        <w:rPr>
          <w:i/>
        </w:rPr>
        <w:t>NDP’</w:t>
      </w:r>
      <w:r>
        <w:t xml:space="preserve"> or ‘</w:t>
      </w:r>
      <w:r>
        <w:rPr>
          <w:i/>
        </w:rPr>
        <w:t>NDA</w:t>
      </w:r>
      <w:r>
        <w:t>’ mean?</w:t>
      </w:r>
    </w:p>
    <w:p w14:paraId="50BDC507" w14:textId="77777777" w:rsidR="000D7D46" w:rsidRPr="00783E13" w:rsidRDefault="00B86CE1"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w:t>
      </w:r>
      <w:r w:rsidRPr="00783E13">
        <w:rPr>
          <w:rFonts w:eastAsia="Arial" w:cs="Times New Roman"/>
          <w:color w:val="000000"/>
          <w:szCs w:val="20"/>
        </w:rPr>
        <w:t>haracteristics that may lead to identification will result in an ‘NDP’ label.</w:t>
      </w:r>
    </w:p>
    <w:p w14:paraId="1B3C6DB8" w14:textId="77777777" w:rsidR="000D7D46" w:rsidRDefault="00B86CE1"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enrolled in some year levels, so school</w:t>
      </w:r>
      <w:r w:rsidRPr="00783E13">
        <w:rPr>
          <w:rFonts w:eastAsia="Arial" w:cs="Times New Roman"/>
          <w:color w:val="000000"/>
          <w:szCs w:val="20"/>
        </w:rPr>
        <w:t xml:space="preserve"> comparisons are not possible.</w:t>
      </w:r>
    </w:p>
    <w:p w14:paraId="7849ECF4" w14:textId="77777777" w:rsidR="004B0401" w:rsidRDefault="00B86CE1"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English Language, Community Schools and sch</w:t>
      </w:r>
      <w:r>
        <w:t>ools that changed school type recently, where school-to-school comparisons are not appropriate.</w:t>
      </w:r>
    </w:p>
    <w:p w14:paraId="471446EC" w14:textId="77777777" w:rsidR="005568AC" w:rsidRDefault="00B86CE1"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6FF1B65B" w14:textId="77777777" w:rsidR="000D7D46" w:rsidRDefault="00B86CE1"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w:t>
      </w:r>
      <w:r>
        <w:rPr>
          <w:rFonts w:eastAsia="Arial"/>
          <w:color w:val="000000"/>
        </w:rPr>
        <w:t>e curriculum is the common set of knowledge and skills required by students for life-long learning, social development and active and informed citizenship.</w:t>
      </w:r>
    </w:p>
    <w:p w14:paraId="26EDAD1B" w14:textId="77777777" w:rsidR="000D7D46" w:rsidRDefault="00B86CE1" w:rsidP="000D7D46">
      <w:pPr>
        <w:spacing w:line="240" w:lineRule="auto"/>
        <w:rPr>
          <w:rFonts w:eastAsia="Arial"/>
          <w:color w:val="000000"/>
        </w:rPr>
      </w:pPr>
      <w:r>
        <w:rPr>
          <w:rFonts w:eastAsia="Arial"/>
          <w:color w:val="000000"/>
        </w:rPr>
        <w:t>The Victorian Curriculum is assessed through teacher judgements of student achievement based on clas</w:t>
      </w:r>
      <w:r>
        <w:rPr>
          <w:rFonts w:eastAsia="Arial"/>
          <w:color w:val="000000"/>
        </w:rPr>
        <w:t>sroom learning.</w:t>
      </w:r>
    </w:p>
    <w:p w14:paraId="0716BBF4" w14:textId="77777777" w:rsidR="000D7D46" w:rsidRDefault="00B86CE1" w:rsidP="000D7D4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14:paraId="0E353CA3" w14:textId="77777777" w:rsidR="000D7D46" w:rsidRDefault="00B86CE1" w:rsidP="000D7D46">
      <w:pPr>
        <w:spacing w:line="240" w:lineRule="auto"/>
        <w:rPr>
          <w:rFonts w:eastAsia="Arial"/>
          <w:color w:val="000000"/>
        </w:rPr>
      </w:pPr>
      <w:r>
        <w:rPr>
          <w:rFonts w:eastAsia="Arial"/>
          <w:color w:val="000000"/>
        </w:rPr>
        <w:t>The ‘Towards Foundation Level Victorian Curriculum’ is integ</w:t>
      </w:r>
      <w:r>
        <w:rPr>
          <w:rFonts w:eastAsia="Arial"/>
          <w:color w:val="000000"/>
        </w:rPr>
        <w:t>rated directly into the curriculum and is referred to as ‘Levels A to D’.</w:t>
      </w:r>
    </w:p>
    <w:p w14:paraId="2B63E726" w14:textId="77777777" w:rsidR="004B0401" w:rsidRDefault="00B86CE1" w:rsidP="000D7D46">
      <w:pPr>
        <w:spacing w:line="240" w:lineRule="auto"/>
        <w:rPr>
          <w:rFonts w:eastAsia="Arial"/>
          <w:color w:val="000000"/>
        </w:rPr>
      </w:pPr>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w:t>
      </w:r>
      <w:r>
        <w:rPr>
          <w:rFonts w:eastAsia="Arial"/>
          <w:color w:val="000000"/>
        </w:rPr>
        <w:t>ks chronological age to cognitive progress (i.e.</w:t>
      </w:r>
      <w:r>
        <w:rPr>
          <w:rFonts w:eastAsia="Arial"/>
          <w:color w:val="000000"/>
        </w:rPr>
        <w:t>,</w:t>
      </w:r>
      <w:r>
        <w:rPr>
          <w:rFonts w:eastAsia="Arial"/>
          <w:color w:val="000000"/>
        </w:rPr>
        <w:t xml:space="preserve"> there is no age expected standard of achievement for ‘Levels A to D’)</w:t>
      </w:r>
      <w:r>
        <w:rPr>
          <w:rFonts w:eastAsia="Arial"/>
          <w:color w:val="000000"/>
        </w:rPr>
        <w:t>.</w:t>
      </w:r>
    </w:p>
    <w:p w14:paraId="32A75D8B" w14:textId="77777777" w:rsidR="005D27E5" w:rsidRDefault="00B86CE1"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14:paraId="59BC74F0" w14:textId="77777777" w:rsidR="0038585D" w:rsidRPr="004A27D4" w:rsidRDefault="00B86CE1"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903DBB" w14:paraId="5D4580E5" w14:textId="77777777" w:rsidTr="007B205B">
        <w:trPr>
          <w:trHeight w:val="15"/>
        </w:trPr>
        <w:tc>
          <w:tcPr>
            <w:tcW w:w="10774" w:type="dxa"/>
            <w:shd w:val="clear" w:color="auto" w:fill="auto"/>
          </w:tcPr>
          <w:p w14:paraId="2DDEF40E" w14:textId="77777777" w:rsidR="00777DB2" w:rsidRPr="001C2589" w:rsidRDefault="00B86CE1" w:rsidP="00F748EB">
            <w:pPr>
              <w:pStyle w:val="Style1"/>
              <w:spacing w:before="0"/>
              <w:jc w:val="both"/>
              <w:rPr>
                <w:szCs w:val="24"/>
              </w:rPr>
            </w:pPr>
            <w:r w:rsidRPr="009E3F78">
              <w:rPr>
                <w:szCs w:val="24"/>
              </w:rPr>
              <w:t>School context</w:t>
            </w:r>
          </w:p>
        </w:tc>
      </w:tr>
      <w:tr w:rsidR="00903DBB" w14:paraId="08DA6A1B" w14:textId="77777777" w:rsidTr="007B205B">
        <w:trPr>
          <w:trHeight w:val="15"/>
        </w:trPr>
        <w:tc>
          <w:tcPr>
            <w:tcW w:w="10774" w:type="dxa"/>
            <w:shd w:val="clear" w:color="auto" w:fill="FFFFFF" w:themeFill="background1"/>
          </w:tcPr>
          <w:p w14:paraId="4E6EB9CA" w14:textId="77777777" w:rsidR="00777DB2" w:rsidRPr="005A75E6" w:rsidRDefault="00B86CE1" w:rsidP="00994A0F">
            <w:pPr>
              <w:pStyle w:val="Heading3"/>
              <w:spacing w:before="0" w:after="0"/>
              <w:rPr>
                <w:b w:val="0"/>
                <w:szCs w:val="20"/>
              </w:rPr>
            </w:pPr>
            <w:r>
              <w:rPr>
                <w:b w:val="0"/>
              </w:rPr>
              <w:t xml:space="preserve">At Bunyip Primary School, we aim to provide all children with appropriate skills, knowledge and behaviours that will enable them to build a successful future, which is sustainable, innovative and builds strong communities in our increasingly global world. </w:t>
            </w:r>
            <w:r>
              <w:rPr>
                <w:b w:val="0"/>
              </w:rPr>
              <w:br/>
              <w:t>Our vision at Bunyip Primary School is to empower students to embrace learning opportunities and challenges to achieve their personal best and build their emotional, social and physical well-being.</w:t>
            </w:r>
            <w:r>
              <w:rPr>
                <w:b w:val="0"/>
              </w:rPr>
              <w:br/>
              <w:t>The core values that underpin our whole school are Respec</w:t>
            </w:r>
            <w:r>
              <w:rPr>
                <w:b w:val="0"/>
              </w:rPr>
              <w:t>t, Responsibility and Resilience. We maintain a strong focus on Mathematics and English. Our staff work in teams to collect, analyse and effectively use data to plan for student learning and track improvement. Our staff continuously reflect on the impact o</w:t>
            </w:r>
            <w:r>
              <w:rPr>
                <w:b w:val="0"/>
              </w:rPr>
              <w:t xml:space="preserve">f their teaching on student learning outcomes. </w:t>
            </w:r>
            <w:r>
              <w:rPr>
                <w:b w:val="0"/>
              </w:rPr>
              <w:br/>
              <w:t>We have a sustainable model of curriculum delivery, appropriate assessment and the capacity to 'track' the performance of every student to ensure future success.</w:t>
            </w:r>
            <w:r>
              <w:rPr>
                <w:b w:val="0"/>
              </w:rPr>
              <w:br/>
              <w:t xml:space="preserve">We enjoy large grounds and excellent learning </w:t>
            </w:r>
            <w:r>
              <w:rPr>
                <w:b w:val="0"/>
              </w:rPr>
              <w:t>spaces and encourage students and teachers to explore new and innovative ways to engage and motivate high quality student learning. Our teachers participate in Collaborative Planning to ensure success for all students. Our students are included in the conv</w:t>
            </w:r>
            <w:r>
              <w:rPr>
                <w:b w:val="0"/>
              </w:rPr>
              <w:t>ersation about their learning and are supported to set learning goals and work towards the achievement of these. We have high expectations and provide a safe, secure and happy working environment for all students, supported by a dedicated, committed and en</w:t>
            </w:r>
            <w:r>
              <w:rPr>
                <w:b w:val="0"/>
              </w:rPr>
              <w:t xml:space="preserve">thusiastic staff team. </w:t>
            </w:r>
            <w:r>
              <w:rPr>
                <w:b w:val="0"/>
              </w:rPr>
              <w:br/>
              <w:t>We have 2 principal class, 1 learning specialist, 9.5 teachers, 1.6  Administration staff, a School Chaplain .4 of the week and 4 Education Support Staff. We enjoy strong support from our parents, School Council and Parents and Frie</w:t>
            </w:r>
            <w:r>
              <w:rPr>
                <w:b w:val="0"/>
              </w:rPr>
              <w:t>nds, and we enjoy an excellent reputation in the school and wider community. The school has 0 ATSI staff and no international students.</w:t>
            </w:r>
            <w:r>
              <w:rPr>
                <w:b w:val="0"/>
              </w:rPr>
              <w:br/>
              <w:t>Bunyip Primary School's SFOE is low-medium. Most importantly, we really care about each and every student at our wonderf</w:t>
            </w:r>
            <w:r>
              <w:rPr>
                <w:b w:val="0"/>
              </w:rPr>
              <w:t>ul school.</w:t>
            </w:r>
            <w:r>
              <w:rPr>
                <w:b w:val="0"/>
              </w:rPr>
              <w:br/>
            </w:r>
          </w:p>
        </w:tc>
      </w:tr>
      <w:tr w:rsidR="00903DBB" w14:paraId="35468AB4" w14:textId="77777777" w:rsidTr="007B205B">
        <w:trPr>
          <w:trHeight w:val="15"/>
        </w:trPr>
        <w:tc>
          <w:tcPr>
            <w:tcW w:w="10774" w:type="dxa"/>
            <w:shd w:val="clear" w:color="auto" w:fill="auto"/>
          </w:tcPr>
          <w:p w14:paraId="3E253A9E" w14:textId="77777777" w:rsidR="00777DB2" w:rsidRPr="007B205B" w:rsidRDefault="00B86CE1" w:rsidP="00F748EB">
            <w:pPr>
              <w:pStyle w:val="Style1"/>
              <w:spacing w:before="0"/>
              <w:jc w:val="both"/>
              <w:rPr>
                <w:szCs w:val="24"/>
              </w:rPr>
            </w:pPr>
            <w:r w:rsidRPr="009E3F78">
              <w:rPr>
                <w:szCs w:val="24"/>
              </w:rPr>
              <w:t>Framework for Improving Student Outcomes (FISO)</w:t>
            </w:r>
          </w:p>
        </w:tc>
      </w:tr>
      <w:tr w:rsidR="00903DBB" w14:paraId="3D8BA7FB" w14:textId="77777777" w:rsidTr="007B205B">
        <w:trPr>
          <w:trHeight w:val="15"/>
        </w:trPr>
        <w:tc>
          <w:tcPr>
            <w:tcW w:w="10774" w:type="dxa"/>
            <w:shd w:val="clear" w:color="auto" w:fill="FFFFFF" w:themeFill="background1"/>
          </w:tcPr>
          <w:p w14:paraId="6E43E3EB" w14:textId="77777777" w:rsidR="00777DB2" w:rsidRPr="005A75E6" w:rsidRDefault="00B86CE1" w:rsidP="00994A0F">
            <w:pPr>
              <w:pStyle w:val="Heading3"/>
              <w:spacing w:before="0" w:after="0"/>
              <w:rPr>
                <w:b w:val="0"/>
                <w:szCs w:val="20"/>
              </w:rPr>
            </w:pPr>
            <w:r>
              <w:rPr>
                <w:b w:val="0"/>
              </w:rPr>
              <w:t>In 2021, our FISO areas to focus on were: Building practice excellence and Empowering students and building school pride.</w:t>
            </w:r>
            <w:r>
              <w:rPr>
                <w:b w:val="0"/>
              </w:rPr>
              <w:br/>
            </w:r>
            <w:r>
              <w:rPr>
                <w:b w:val="0"/>
              </w:rPr>
              <w:br/>
              <w:t xml:space="preserve">The school implemented a number of Key Improvement Strategies </w:t>
            </w:r>
            <w:r>
              <w:rPr>
                <w:b w:val="0"/>
              </w:rPr>
              <w:t>including:</w:t>
            </w:r>
            <w:r>
              <w:rPr>
                <w:b w:val="0"/>
              </w:rPr>
              <w:br/>
              <w:t>* Implement high quality, evidence based PLC’s which measure for impact on learning</w:t>
            </w:r>
            <w:r>
              <w:rPr>
                <w:b w:val="0"/>
              </w:rPr>
              <w:br/>
              <w:t>*Building shared capability around the teaching of Reading with a focus on the instructional model</w:t>
            </w:r>
            <w:r>
              <w:rPr>
                <w:b w:val="0"/>
              </w:rPr>
              <w:br/>
              <w:t>*Implement a school wide approach to well being and engagement</w:t>
            </w:r>
            <w:r>
              <w:rPr>
                <w:b w:val="0"/>
              </w:rPr>
              <w:t xml:space="preserve"> that promotes high expectations of behaviour and learning.</w:t>
            </w:r>
            <w:r>
              <w:rPr>
                <w:b w:val="0"/>
              </w:rPr>
              <w:br/>
            </w:r>
            <w:r>
              <w:rPr>
                <w:b w:val="0"/>
              </w:rPr>
              <w:br/>
              <w:t>Whilst many of our actions were implemented, the interruption to regular school practice particularly impacted on our ability to implement our initial plans with the focus shifitng to Learning ca</w:t>
            </w:r>
            <w:r>
              <w:rPr>
                <w:b w:val="0"/>
              </w:rPr>
              <w:t>tch up and extension, and an increased focus on student well-being.</w:t>
            </w:r>
            <w:r>
              <w:rPr>
                <w:b w:val="0"/>
              </w:rPr>
              <w:br/>
            </w:r>
            <w:r>
              <w:rPr>
                <w:b w:val="0"/>
              </w:rPr>
              <w:br/>
              <w:t>Our learning focus was identifying the students requiring catch up and supporting them through classroom interventions and tutor learning programs. PLC's continued to develop a consistent</w:t>
            </w:r>
            <w:r>
              <w:rPr>
                <w:b w:val="0"/>
              </w:rPr>
              <w:t xml:space="preserve"> approach to Response to Intervention and extension, whilst also re-establishing school routines and learning stamina.</w:t>
            </w:r>
            <w:r>
              <w:rPr>
                <w:b w:val="0"/>
              </w:rPr>
              <w:br/>
            </w:r>
            <w:r>
              <w:rPr>
                <w:b w:val="0"/>
              </w:rPr>
              <w:br/>
              <w:t xml:space="preserve">The school continued to implement SWPBS and at the end of 2021, applied for both the blue and bronze awards. Data is being analysed and </w:t>
            </w:r>
            <w:r>
              <w:rPr>
                <w:b w:val="0"/>
              </w:rPr>
              <w:t>used more effectively to target areas of concern and celebrate successes. Improved systems have been developed to respond to behaviours of concern.</w:t>
            </w:r>
            <w:r>
              <w:rPr>
                <w:b w:val="0"/>
              </w:rPr>
              <w:br/>
            </w:r>
          </w:p>
        </w:tc>
      </w:tr>
      <w:tr w:rsidR="00903DBB" w14:paraId="7EDE9EC8" w14:textId="77777777" w:rsidTr="007B205B">
        <w:trPr>
          <w:trHeight w:val="15"/>
        </w:trPr>
        <w:tc>
          <w:tcPr>
            <w:tcW w:w="10774" w:type="dxa"/>
            <w:shd w:val="clear" w:color="auto" w:fill="auto"/>
          </w:tcPr>
          <w:p w14:paraId="31B81A88" w14:textId="77777777" w:rsidR="00777DB2" w:rsidRPr="007B205B" w:rsidRDefault="00B86CE1" w:rsidP="00F748EB">
            <w:pPr>
              <w:pStyle w:val="Style1"/>
              <w:spacing w:before="0"/>
              <w:jc w:val="both"/>
              <w:rPr>
                <w:szCs w:val="24"/>
              </w:rPr>
            </w:pPr>
            <w:r w:rsidRPr="009E3F78">
              <w:rPr>
                <w:szCs w:val="24"/>
              </w:rPr>
              <w:lastRenderedPageBreak/>
              <w:t>Achievement</w:t>
            </w:r>
          </w:p>
        </w:tc>
      </w:tr>
      <w:tr w:rsidR="00903DBB" w14:paraId="327D4184" w14:textId="77777777" w:rsidTr="007B205B">
        <w:trPr>
          <w:trHeight w:val="15"/>
        </w:trPr>
        <w:tc>
          <w:tcPr>
            <w:tcW w:w="10774" w:type="dxa"/>
            <w:shd w:val="clear" w:color="auto" w:fill="FFFFFF" w:themeFill="background1"/>
          </w:tcPr>
          <w:p w14:paraId="3D7E5485" w14:textId="77777777" w:rsidR="00777DB2" w:rsidRPr="005A75E6" w:rsidRDefault="00B86CE1" w:rsidP="00994A0F">
            <w:pPr>
              <w:pStyle w:val="Heading3"/>
              <w:spacing w:before="0" w:after="0"/>
              <w:rPr>
                <w:b w:val="0"/>
                <w:szCs w:val="20"/>
              </w:rPr>
            </w:pPr>
            <w:r>
              <w:rPr>
                <w:b w:val="0"/>
              </w:rPr>
              <w:t>Whilst some students engaged well with remote and flexible learning, approximately 1/3 of our students and families struggled to engage consistently and effectively. Many of our students were invited to be on site whilst we got them back on track with remo</w:t>
            </w:r>
            <w:r>
              <w:rPr>
                <w:b w:val="0"/>
              </w:rPr>
              <w:t xml:space="preserve">te learning. </w:t>
            </w:r>
            <w:r>
              <w:rPr>
                <w:b w:val="0"/>
              </w:rPr>
              <w:br/>
              <w:t>Our students responded most positively when 3 webex sessions were provided each day - 1 reading, 1 writing and 1 mathematics. Students were offered a range of supports to help them engage and be successful during remote and flexible learning.</w:t>
            </w:r>
            <w:r>
              <w:rPr>
                <w:b w:val="0"/>
              </w:rPr>
              <w:br/>
              <w:t>When returning to school, the school focused on reestablishing classroom routines and providing wellbeing support.</w:t>
            </w:r>
            <w:r>
              <w:rPr>
                <w:b w:val="0"/>
              </w:rPr>
              <w:br/>
              <w:t>School data indicates that the students who engaged with RFL made expected growth which was confirmation on the success of teacher planning.</w:t>
            </w:r>
            <w:r>
              <w:rPr>
                <w:b w:val="0"/>
              </w:rPr>
              <w:t xml:space="preserve"> Our students found it particularly difficult to engage with writing and mathematical concepts were limited in what was covered due to the nature of remote learning.</w:t>
            </w:r>
            <w:r>
              <w:rPr>
                <w:b w:val="0"/>
              </w:rPr>
              <w:br/>
              <w:t>Our students responded well to using online programs such as Mathletics and Readiwriter.</w:t>
            </w:r>
            <w:r>
              <w:rPr>
                <w:b w:val="0"/>
              </w:rPr>
              <w:br/>
              <w:t>I</w:t>
            </w:r>
            <w:r>
              <w:rPr>
                <w:b w:val="0"/>
              </w:rPr>
              <w:t>n 2021 Bunyip Primary School had 8 PSD funded students. These students all had individual education plans and regular Students Support Group meetings.</w:t>
            </w:r>
          </w:p>
        </w:tc>
      </w:tr>
      <w:tr w:rsidR="00903DBB" w14:paraId="6A3823CE" w14:textId="77777777" w:rsidTr="007B205B">
        <w:trPr>
          <w:trHeight w:val="15"/>
        </w:trPr>
        <w:tc>
          <w:tcPr>
            <w:tcW w:w="10774" w:type="dxa"/>
            <w:shd w:val="clear" w:color="auto" w:fill="auto"/>
          </w:tcPr>
          <w:p w14:paraId="0A473E92" w14:textId="77777777" w:rsidR="00777DB2" w:rsidRPr="007B205B" w:rsidRDefault="00B86CE1" w:rsidP="00F748EB">
            <w:pPr>
              <w:pStyle w:val="Style1"/>
              <w:spacing w:before="0"/>
              <w:jc w:val="both"/>
              <w:rPr>
                <w:szCs w:val="24"/>
              </w:rPr>
            </w:pPr>
            <w:r w:rsidRPr="009E3F78">
              <w:rPr>
                <w:szCs w:val="24"/>
              </w:rPr>
              <w:t>Engagement</w:t>
            </w:r>
          </w:p>
        </w:tc>
      </w:tr>
      <w:tr w:rsidR="00903DBB" w14:paraId="6E0C1CF4" w14:textId="77777777" w:rsidTr="007B205B">
        <w:trPr>
          <w:trHeight w:val="15"/>
        </w:trPr>
        <w:tc>
          <w:tcPr>
            <w:tcW w:w="10774" w:type="dxa"/>
            <w:shd w:val="clear" w:color="auto" w:fill="FFFFFF" w:themeFill="background1"/>
          </w:tcPr>
          <w:p w14:paraId="06C27B98" w14:textId="77777777" w:rsidR="00777DB2" w:rsidRPr="005A75E6" w:rsidRDefault="00B86CE1" w:rsidP="00994A0F">
            <w:pPr>
              <w:pStyle w:val="Heading3"/>
              <w:spacing w:before="0" w:after="0"/>
              <w:rPr>
                <w:b w:val="0"/>
                <w:szCs w:val="20"/>
              </w:rPr>
            </w:pPr>
            <w:r>
              <w:rPr>
                <w:b w:val="0"/>
              </w:rPr>
              <w:t>Many of our students struggled to engage with on line learning and were excited to return to</w:t>
            </w:r>
            <w:r>
              <w:rPr>
                <w:b w:val="0"/>
              </w:rPr>
              <w:t xml:space="preserve"> on site learning. During RFL we had regular wellbeing days and developed strategies to keep our students and families connected, such as on line story time, on line videos with school information, on line assemblies and student chat groups.</w:t>
            </w:r>
            <w:r>
              <w:rPr>
                <w:b w:val="0"/>
              </w:rPr>
              <w:br/>
              <w:t>When returning</w:t>
            </w:r>
            <w:r>
              <w:rPr>
                <w:b w:val="0"/>
              </w:rPr>
              <w:t xml:space="preserve"> to school we continued to develop ways for students to be engaged including celebration of learning afternoons and on line assemblies.</w:t>
            </w:r>
            <w:r>
              <w:rPr>
                <w:b w:val="0"/>
              </w:rPr>
              <w:br/>
              <w:t>The school liaised with the regional wellbeing team to develop supports for the increased number of students who had dev</w:t>
            </w:r>
            <w:r>
              <w:rPr>
                <w:b w:val="0"/>
              </w:rPr>
              <w:t>eloped mental health concerns, including anxiety and school refusal.</w:t>
            </w:r>
            <w:r>
              <w:rPr>
                <w:b w:val="0"/>
              </w:rPr>
              <w:br/>
              <w:t>SWPBS was utilised to quickly reinforce the expected behaviours at school for students to demonstrate Respect, Responsibility and Resilience. During RFL we continued to give tokens to rei</w:t>
            </w:r>
            <w:r>
              <w:rPr>
                <w:b w:val="0"/>
              </w:rPr>
              <w:t>nforce positive behaviour and posted acknowledgement certificates to students.</w:t>
            </w:r>
            <w:r>
              <w:rPr>
                <w:b w:val="0"/>
              </w:rPr>
              <w:br/>
              <w:t>To engage with our kinder families we held an online information night which involved all staff from the school.</w:t>
            </w:r>
            <w:r>
              <w:rPr>
                <w:b w:val="0"/>
              </w:rPr>
              <w:br/>
              <w:t>The school has an attendance policy in place and monitors attend</w:t>
            </w:r>
            <w:r>
              <w:rPr>
                <w:b w:val="0"/>
              </w:rPr>
              <w:t>ance weekly. The school has had the support of SASP to assist with students with poor attendance and has individual plans in place to re-engage these students.</w:t>
            </w:r>
          </w:p>
        </w:tc>
      </w:tr>
      <w:tr w:rsidR="00903DBB" w14:paraId="13356239" w14:textId="77777777" w:rsidTr="007B205B">
        <w:trPr>
          <w:trHeight w:val="15"/>
        </w:trPr>
        <w:tc>
          <w:tcPr>
            <w:tcW w:w="10774" w:type="dxa"/>
            <w:shd w:val="clear" w:color="auto" w:fill="auto"/>
          </w:tcPr>
          <w:p w14:paraId="61BFB952" w14:textId="77777777" w:rsidR="00777DB2" w:rsidRPr="007B205B" w:rsidRDefault="00B86CE1" w:rsidP="00F748EB">
            <w:pPr>
              <w:pStyle w:val="Style1"/>
              <w:spacing w:before="0"/>
              <w:jc w:val="both"/>
              <w:rPr>
                <w:szCs w:val="24"/>
              </w:rPr>
            </w:pPr>
            <w:r w:rsidRPr="009E3F78">
              <w:rPr>
                <w:szCs w:val="24"/>
              </w:rPr>
              <w:t>Wellbeing</w:t>
            </w:r>
          </w:p>
        </w:tc>
      </w:tr>
      <w:tr w:rsidR="00903DBB" w14:paraId="3579F24A" w14:textId="77777777" w:rsidTr="007B205B">
        <w:trPr>
          <w:trHeight w:val="15"/>
        </w:trPr>
        <w:tc>
          <w:tcPr>
            <w:tcW w:w="10774" w:type="dxa"/>
            <w:shd w:val="clear" w:color="auto" w:fill="FFFFFF" w:themeFill="background1"/>
          </w:tcPr>
          <w:p w14:paraId="0205D99C" w14:textId="77777777" w:rsidR="00777DB2" w:rsidRPr="007C43EB" w:rsidRDefault="00B86CE1" w:rsidP="00994A0F">
            <w:pPr>
              <w:pStyle w:val="Heading3"/>
              <w:spacing w:before="0" w:after="0"/>
              <w:rPr>
                <w:b w:val="0"/>
                <w:szCs w:val="20"/>
              </w:rPr>
            </w:pPr>
            <w:r>
              <w:rPr>
                <w:b w:val="0"/>
              </w:rPr>
              <w:t xml:space="preserve">Health and Well Being supports such as SWPBS, Be You initiatives and </w:t>
            </w:r>
            <w:r>
              <w:rPr>
                <w:b w:val="0"/>
              </w:rPr>
              <w:t>chaplaincy support were provided throughout the year.</w:t>
            </w:r>
            <w:r>
              <w:rPr>
                <w:b w:val="0"/>
              </w:rPr>
              <w:br/>
              <w:t>As a result of the positive response to teacher phone calls to families, these have been continued to share positive news with families.</w:t>
            </w:r>
            <w:r>
              <w:rPr>
                <w:b w:val="0"/>
              </w:rPr>
              <w:br/>
              <w:t>All students were part of cross age Positive Behaviour groups, le</w:t>
            </w:r>
            <w:r>
              <w:rPr>
                <w:b w:val="0"/>
              </w:rPr>
              <w:t>d by Grade 6 students where students had the opportunity to learn and practice our school expectations.</w:t>
            </w:r>
            <w:r>
              <w:rPr>
                <w:b w:val="0"/>
              </w:rPr>
              <w:br/>
              <w:t>Students were still given opportunities to develop their leadership skills and have student voice.</w:t>
            </w:r>
            <w:r>
              <w:rPr>
                <w:b w:val="0"/>
              </w:rPr>
              <w:br/>
              <w:t>Teachers worked collaboratively to build support plan</w:t>
            </w:r>
            <w:r>
              <w:rPr>
                <w:b w:val="0"/>
              </w:rPr>
              <w:t>s for At Risk students and these were monitored closely.</w:t>
            </w:r>
            <w:r>
              <w:rPr>
                <w:b w:val="0"/>
              </w:rPr>
              <w:br/>
              <w:t>As part of our staff professional development, the school developed a tiered response to support student wellbeing including whole school, small group and individual supports.</w:t>
            </w:r>
          </w:p>
        </w:tc>
      </w:tr>
      <w:tr w:rsidR="00903DBB" w14:paraId="12963760" w14:textId="77777777" w:rsidTr="007B205B">
        <w:trPr>
          <w:trHeight w:val="15"/>
        </w:trPr>
        <w:tc>
          <w:tcPr>
            <w:tcW w:w="10774" w:type="dxa"/>
            <w:shd w:val="clear" w:color="auto" w:fill="auto"/>
          </w:tcPr>
          <w:p w14:paraId="2250D8B4" w14:textId="77777777" w:rsidR="00777DB2" w:rsidRPr="007B205B" w:rsidRDefault="00B86CE1" w:rsidP="00F748EB">
            <w:pPr>
              <w:pStyle w:val="Style1"/>
              <w:spacing w:before="0"/>
              <w:jc w:val="both"/>
              <w:rPr>
                <w:szCs w:val="24"/>
              </w:rPr>
            </w:pPr>
            <w:r w:rsidRPr="009E3F78">
              <w:rPr>
                <w:szCs w:val="24"/>
              </w:rPr>
              <w:t>Finance performance an</w:t>
            </w:r>
            <w:r w:rsidRPr="009E3F78">
              <w:rPr>
                <w:szCs w:val="24"/>
              </w:rPr>
              <w:t>d position</w:t>
            </w:r>
          </w:p>
        </w:tc>
      </w:tr>
      <w:tr w:rsidR="00903DBB" w14:paraId="0481902D" w14:textId="77777777" w:rsidTr="007B205B">
        <w:trPr>
          <w:trHeight w:val="15"/>
        </w:trPr>
        <w:tc>
          <w:tcPr>
            <w:tcW w:w="10774" w:type="dxa"/>
            <w:shd w:val="clear" w:color="auto" w:fill="FFFFFF" w:themeFill="background1"/>
          </w:tcPr>
          <w:p w14:paraId="27D72A61" w14:textId="77777777" w:rsidR="00777DB2" w:rsidRPr="005A75E6" w:rsidRDefault="00B86CE1" w:rsidP="00994A0F">
            <w:pPr>
              <w:pStyle w:val="Heading3"/>
              <w:spacing w:before="0" w:after="0"/>
              <w:rPr>
                <w:b w:val="0"/>
                <w:szCs w:val="20"/>
              </w:rPr>
            </w:pPr>
            <w:r>
              <w:rPr>
                <w:b w:val="0"/>
              </w:rPr>
              <w:t>The school finished 2021 with an expected deficit, in an effort to retain an Assistant Principal and maintain manageable class sizes. The school also experienced an unexpected drop in enrolments prior to the start of the school year when teache</w:t>
            </w:r>
            <w:r>
              <w:rPr>
                <w:b w:val="0"/>
              </w:rPr>
              <w:t>r contracts had already been confirmed. The school budgeted to cover this deficit to ensure the best outcomes for our students.</w:t>
            </w:r>
            <w:r>
              <w:rPr>
                <w:b w:val="0"/>
              </w:rPr>
              <w:br/>
            </w:r>
            <w:r>
              <w:rPr>
                <w:b w:val="0"/>
              </w:rPr>
              <w:lastRenderedPageBreak/>
              <w:t>During the year, the school received a $50,000 grant to install a new fence at the front of the school. which has been a great a</w:t>
            </w:r>
            <w:r>
              <w:rPr>
                <w:b w:val="0"/>
              </w:rPr>
              <w:t>sset to the school. It has added both aesthetic and safety value to the school.</w:t>
            </w:r>
            <w:r>
              <w:rPr>
                <w:b w:val="0"/>
              </w:rPr>
              <w:br/>
              <w:t>The School Council finance sub-committee monitors the annual budget carefully, meeting prior to each school council meeting, to check that our budget is implemented as expected</w:t>
            </w:r>
            <w:r>
              <w:rPr>
                <w:b w:val="0"/>
              </w:rPr>
              <w:t xml:space="preserve"> and make adjustments as necessary.</w:t>
            </w:r>
          </w:p>
        </w:tc>
      </w:tr>
      <w:tr w:rsidR="00903DBB" w14:paraId="4AD227E4" w14:textId="77777777" w:rsidTr="007B205B">
        <w:trPr>
          <w:trHeight w:val="15"/>
        </w:trPr>
        <w:tc>
          <w:tcPr>
            <w:tcW w:w="10774" w:type="dxa"/>
            <w:shd w:val="clear" w:color="auto" w:fill="auto"/>
          </w:tcPr>
          <w:p w14:paraId="7984C604" w14:textId="77777777" w:rsidR="00BF0096" w:rsidRPr="005A75E6" w:rsidRDefault="00B86CE1" w:rsidP="00C71E7A">
            <w:pPr>
              <w:pStyle w:val="Heading3"/>
              <w:spacing w:before="0" w:after="0"/>
              <w:rPr>
                <w:b w:val="0"/>
                <w:szCs w:val="20"/>
              </w:rPr>
            </w:pPr>
          </w:p>
          <w:p w14:paraId="75AD8614" w14:textId="59B4AD13" w:rsidR="00903DBB" w:rsidRDefault="00B86CE1">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5" w:history="1">
              <w:r>
                <w:rPr>
                  <w:rFonts w:eastAsia="Arial"/>
                  <w:b/>
                  <w:bCs/>
                  <w:color w:val="0000EE"/>
                  <w:sz w:val="22"/>
                  <w:szCs w:val="22"/>
                  <w:u w:val="single"/>
                </w:rPr>
                <w:t>www.bunyipps.vic.edu.au</w:t>
              </w:r>
            </w:hyperlink>
          </w:p>
          <w:p w14:paraId="1CFDAC92" w14:textId="77777777" w:rsidR="00903DBB" w:rsidRDefault="00903DBB"/>
        </w:tc>
      </w:tr>
    </w:tbl>
    <w:p w14:paraId="7B514146" w14:textId="77777777" w:rsidR="005E684F" w:rsidRPr="00FA10DB" w:rsidRDefault="00B86CE1"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14:paraId="77420666" w14:textId="77777777" w:rsidR="009E6D61" w:rsidRDefault="00B86CE1" w:rsidP="00B637FF">
      <w:pPr>
        <w:pStyle w:val="Title"/>
      </w:pPr>
      <w:r>
        <w:lastRenderedPageBreak/>
        <w:t>Performance Summary</w:t>
      </w:r>
    </w:p>
    <w:p w14:paraId="3AFC6D84" w14:textId="77777777" w:rsidR="009E6D61" w:rsidRDefault="00B86CE1">
      <w:pPr>
        <w:pStyle w:val="ESBodyText0"/>
      </w:pPr>
      <w:r>
        <w:t>The Performance Summary</w:t>
      </w:r>
      <w:r>
        <w:t xml:space="preserve"> for government schools</w:t>
      </w:r>
      <w:r>
        <w:t xml:space="preserve"> provides an overview of how this school is contributing to the objectives of the Education State and how it compares to other Victorian </w:t>
      </w:r>
      <w:r>
        <w:t>g</w:t>
      </w:r>
      <w:r>
        <w:t>overnment schools.</w:t>
      </w:r>
    </w:p>
    <w:p w14:paraId="0102418A" w14:textId="77777777" w:rsidR="009E6D61" w:rsidRDefault="00B86CE1">
      <w:pPr>
        <w:pStyle w:val="ESBodyText0"/>
      </w:pPr>
      <w:r>
        <w:t>All schools work in partnership with their school community to improve outcomes for children and yo</w:t>
      </w:r>
      <w:r>
        <w:t>ung people. Sharing this information with parents and the wider school community helps to support community engagement in student learning, a key priority of the Framework for Improving Student Outcomes.</w:t>
      </w:r>
    </w:p>
    <w:p w14:paraId="4E9903C7" w14:textId="77777777" w:rsidR="009E6D61" w:rsidRDefault="00B86CE1">
      <w:pPr>
        <w:pStyle w:val="ESBodyText0"/>
      </w:pPr>
      <w:r>
        <w:t xml:space="preserve">Refer to the </w:t>
      </w:r>
      <w:r w:rsidRPr="000D7D46">
        <w:t xml:space="preserve">‘How to read the Annual Report’ </w:t>
      </w:r>
      <w:r>
        <w:t>section</w:t>
      </w:r>
      <w:r>
        <w:t xml:space="preserve"> for help on how to interpret this report.</w:t>
      </w:r>
    </w:p>
    <w:p w14:paraId="5F32CF6B" w14:textId="77777777" w:rsidR="009E6D61" w:rsidRDefault="00B86CE1" w:rsidP="00B637FF">
      <w:pPr>
        <w:pStyle w:val="Style10"/>
      </w:pPr>
      <w:r>
        <w:t>SCHOOL PROFILE</w:t>
      </w:r>
    </w:p>
    <w:p w14:paraId="3B4C3747" w14:textId="77777777" w:rsidR="009E6D61" w:rsidRDefault="00B86CE1" w:rsidP="00B637FF">
      <w:pPr>
        <w:pStyle w:val="ESHeading30"/>
      </w:pPr>
      <w:r>
        <w:t>Enrolment Profile</w:t>
      </w:r>
    </w:p>
    <w:p w14:paraId="75F17ED9" w14:textId="77777777" w:rsidR="009E6D61" w:rsidRDefault="00B86CE1">
      <w:pPr>
        <w:pStyle w:val="ESBodyText0"/>
      </w:pPr>
      <w:r>
        <w:t>A total of  197 students were enrolled at this school in 2021,   81 female and  116 male.</w:t>
      </w:r>
    </w:p>
    <w:p w14:paraId="4C9C45CA" w14:textId="77777777" w:rsidR="009E6D61" w:rsidRDefault="00B86CE1">
      <w:pPr>
        <w:pStyle w:val="ESBodyText0"/>
      </w:pPr>
      <w:r>
        <w:t>NDP</w:t>
      </w:r>
      <w:r>
        <w:t xml:space="preserve"> percent of students had English as an additional language and </w:t>
      </w:r>
      <w:r>
        <w:t>NDP</w:t>
      </w:r>
      <w:r>
        <w:t xml:space="preserve"> percent were Aborigi</w:t>
      </w:r>
      <w:r>
        <w:t>nal or Torres Strait Islander.</w:t>
      </w:r>
    </w:p>
    <w:p w14:paraId="222E3312" w14:textId="77777777" w:rsidR="009E6D61" w:rsidRPr="001C6AF2" w:rsidRDefault="00B86CE1" w:rsidP="00742BDA">
      <w:pPr>
        <w:pStyle w:val="ESHeading30"/>
        <w:spacing w:before="360"/>
        <w:rPr>
          <w:color w:val="AF272F"/>
        </w:rPr>
      </w:pPr>
      <w:r w:rsidRPr="001C6AF2">
        <w:t>Overall Socio-Economic Profile</w:t>
      </w:r>
    </w:p>
    <w:p w14:paraId="616A0776" w14:textId="77777777" w:rsidR="009E6D61" w:rsidRPr="001C6AF2" w:rsidRDefault="00B86CE1">
      <w:pPr>
        <w:pStyle w:val="ESBodyText0"/>
      </w:pPr>
      <w:r w:rsidRPr="001C6AF2">
        <w:t>The overall school’s socio-economic profile is based on the school's Student Family Occupation and Education index (SFOE).</w:t>
      </w:r>
    </w:p>
    <w:p w14:paraId="3BAD3679" w14:textId="77777777" w:rsidR="009E6D61" w:rsidRPr="001C6AF2" w:rsidRDefault="00B86CE1">
      <w:pPr>
        <w:pStyle w:val="ESBodyText0"/>
      </w:pPr>
      <w:r>
        <w:t xml:space="preserve">SFOE is a measure of socio-educational disadvantage of a school, based </w:t>
      </w:r>
      <w:r>
        <w:t>on educational and employment characteristics of the parents/carers of students enrolled at the school. Possible SFOE band values are: Low, Low-Medium, Medium and High. A ‘Low’ band represents a low level of socio-educational disadvantage, a ‘High’ band re</w:t>
      </w:r>
      <w:r>
        <w:t>presents a high level of socio-educational disadvantage.</w:t>
      </w:r>
    </w:p>
    <w:p w14:paraId="7F0F9C6A" w14:textId="77777777" w:rsidR="009E6D61" w:rsidRPr="00B637FF" w:rsidRDefault="00B86CE1">
      <w:pPr>
        <w:pStyle w:val="ESBodyText0"/>
      </w:pPr>
      <w:r w:rsidRPr="001C6AF2">
        <w:t xml:space="preserve">This school’s </w:t>
      </w:r>
      <w:r>
        <w:t>SFOE</w:t>
      </w:r>
      <w:r w:rsidRPr="001C6AF2">
        <w:t xml:space="preserve"> band value is: </w:t>
      </w:r>
      <w:r>
        <w:t>Low - Medium</w:t>
      </w:r>
    </w:p>
    <w:p w14:paraId="14F09442" w14:textId="77777777" w:rsidR="009E6D61" w:rsidRPr="004777FF" w:rsidRDefault="00B86CE1" w:rsidP="00742BDA">
      <w:pPr>
        <w:pStyle w:val="ESHeading30"/>
        <w:spacing w:before="360"/>
        <w:rPr>
          <w:color w:val="auto"/>
        </w:rPr>
      </w:pPr>
      <w:r>
        <w:t>Parent Satisfaction Summary</w:t>
      </w:r>
    </w:p>
    <w:p w14:paraId="6C74644B" w14:textId="77777777" w:rsidR="009E6D61" w:rsidRDefault="00B86CE1">
      <w:pPr>
        <w:pStyle w:val="ESBodyText0"/>
      </w:pPr>
      <w:r>
        <w:t>The percent endorsement by parents on their school satisfaction level, as reported in the annual Parent Opinion Survey.</w:t>
      </w:r>
    </w:p>
    <w:p w14:paraId="4838738D" w14:textId="77777777" w:rsidR="009E6D61" w:rsidRDefault="00B86CE1" w:rsidP="00DF5E8D">
      <w:pPr>
        <w:pStyle w:val="ESBodyText0"/>
        <w:spacing w:after="360"/>
      </w:pPr>
      <w:r>
        <w:rPr>
          <w:noProof/>
        </w:rPr>
        <w:drawing>
          <wp:anchor distT="0" distB="0" distL="114300" distR="114300" simplePos="0" relativeHeight="251674624" behindDoc="0" locked="0" layoutInCell="1" allowOverlap="1" wp14:anchorId="38665627" wp14:editId="4903E1C5">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903DBB" w14:paraId="12C1E9F2" w14:textId="77777777" w:rsidTr="00301A6C">
        <w:trPr>
          <w:trHeight w:hRule="exact" w:val="567"/>
        </w:trPr>
        <w:tc>
          <w:tcPr>
            <w:tcW w:w="3256" w:type="dxa"/>
            <w:vAlign w:val="bottom"/>
          </w:tcPr>
          <w:p w14:paraId="38B5CE0D" w14:textId="77777777" w:rsidR="00DF5E8D" w:rsidRPr="00DF5E8D" w:rsidRDefault="00B86CE1">
            <w:pPr>
              <w:pStyle w:val="ESBodyText0"/>
              <w:rPr>
                <w:b/>
                <w:bCs/>
              </w:rPr>
            </w:pPr>
            <w:r w:rsidRPr="00DF5E8D">
              <w:rPr>
                <w:b/>
                <w:bCs/>
              </w:rPr>
              <w:t>Parent Satisfaction</w:t>
            </w:r>
          </w:p>
        </w:tc>
        <w:tc>
          <w:tcPr>
            <w:tcW w:w="1139" w:type="dxa"/>
            <w:vAlign w:val="bottom"/>
          </w:tcPr>
          <w:p w14:paraId="31AE9CCB" w14:textId="77777777" w:rsidR="00DF5E8D" w:rsidRPr="00E346A0" w:rsidRDefault="00B86CE1" w:rsidP="00DF5E8D">
            <w:pPr>
              <w:pStyle w:val="ESBodyText0"/>
              <w:jc w:val="center"/>
              <w:rPr>
                <w:b/>
                <w:bCs/>
              </w:rPr>
            </w:pPr>
            <w:r w:rsidRPr="001B1C12">
              <w:t>Latest year (202</w:t>
            </w:r>
            <w:r>
              <w:t>1</w:t>
            </w:r>
            <w:r w:rsidRPr="001B1C12">
              <w:t>)</w:t>
            </w:r>
          </w:p>
        </w:tc>
      </w:tr>
      <w:tr w:rsidR="00903DBB" w14:paraId="0EEE2EDA" w14:textId="77777777" w:rsidTr="00301A6C">
        <w:trPr>
          <w:trHeight w:hRule="exact" w:val="680"/>
        </w:trPr>
        <w:tc>
          <w:tcPr>
            <w:tcW w:w="3256" w:type="dxa"/>
            <w:tcMar>
              <w:top w:w="57" w:type="dxa"/>
            </w:tcMar>
            <w:vAlign w:val="center"/>
          </w:tcPr>
          <w:p w14:paraId="3438A65B" w14:textId="77777777" w:rsidR="00DF5E8D" w:rsidRDefault="00B86CE1">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7C52C8CC" w14:textId="77777777" w:rsidR="00DF5E8D" w:rsidRDefault="00B86CE1" w:rsidP="00DF5E8D">
            <w:pPr>
              <w:pStyle w:val="ESBodyText0"/>
              <w:jc w:val="center"/>
            </w:pPr>
            <w:r>
              <w:t>74.8%</w:t>
            </w:r>
          </w:p>
        </w:tc>
      </w:tr>
      <w:tr w:rsidR="00903DBB" w14:paraId="7243C3EB" w14:textId="77777777" w:rsidTr="00301A6C">
        <w:trPr>
          <w:trHeight w:hRule="exact" w:val="680"/>
        </w:trPr>
        <w:tc>
          <w:tcPr>
            <w:tcW w:w="3256" w:type="dxa"/>
            <w:tcMar>
              <w:top w:w="57" w:type="dxa"/>
            </w:tcMar>
            <w:vAlign w:val="center"/>
          </w:tcPr>
          <w:p w14:paraId="628814AB" w14:textId="77777777" w:rsidR="00DF5E8D" w:rsidRDefault="00B86CE1">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98DDC29" w14:textId="77777777" w:rsidR="00DF5E8D" w:rsidRDefault="00B86CE1" w:rsidP="00DF5E8D">
            <w:pPr>
              <w:pStyle w:val="ESBodyText0"/>
              <w:jc w:val="center"/>
            </w:pPr>
            <w:r>
              <w:t>81.8%</w:t>
            </w:r>
          </w:p>
        </w:tc>
      </w:tr>
    </w:tbl>
    <w:p w14:paraId="2CC002F6" w14:textId="77777777" w:rsidR="00001860" w:rsidRDefault="00B86CE1" w:rsidP="00B55D76">
      <w:pPr>
        <w:pStyle w:val="ESBodyText0"/>
        <w:spacing w:after="0" w:line="240" w:lineRule="auto"/>
      </w:pPr>
    </w:p>
    <w:p w14:paraId="5D3E631E" w14:textId="77777777" w:rsidR="00485F3E" w:rsidRDefault="00B86CE1" w:rsidP="00B55D76">
      <w:pPr>
        <w:pStyle w:val="ESBodyText0"/>
        <w:spacing w:after="0" w:line="240" w:lineRule="auto"/>
      </w:pPr>
    </w:p>
    <w:p w14:paraId="3D6D683D" w14:textId="77777777" w:rsidR="009E6D61" w:rsidRPr="00742BDA" w:rsidRDefault="00B86CE1" w:rsidP="00B637FF">
      <w:pPr>
        <w:pStyle w:val="ESHeading30"/>
        <w:rPr>
          <w:color w:val="auto"/>
        </w:rPr>
      </w:pPr>
      <w:r>
        <w:t>School Staff Survey</w:t>
      </w:r>
    </w:p>
    <w:p w14:paraId="2944CD0B" w14:textId="77777777" w:rsidR="009E6D61" w:rsidRDefault="00B86CE1">
      <w:pPr>
        <w:pStyle w:val="ESBodyText0"/>
      </w:pPr>
      <w:r>
        <w:t>The percent endorsement by staff on School Climate, as reported in the annual School Staff Survey.</w:t>
      </w:r>
    </w:p>
    <w:p w14:paraId="4F7AF384" w14:textId="77777777" w:rsidR="009E6D61" w:rsidRDefault="00B86CE1">
      <w:pPr>
        <w:pStyle w:val="ESBodyText0"/>
      </w:pPr>
      <w:r>
        <w:t>Percent endorsement indicates the percent of positive responses (agree or strongly agree) from staff who responded to the survey.</w:t>
      </w:r>
    </w:p>
    <w:p w14:paraId="3ADCE499" w14:textId="77777777" w:rsidR="009E6D61" w:rsidRDefault="00B86CE1" w:rsidP="00DF5E8D">
      <w:pPr>
        <w:pStyle w:val="ESBodyText0"/>
        <w:spacing w:after="360"/>
      </w:pPr>
      <w:r>
        <w:rPr>
          <w:noProof/>
        </w:rPr>
        <w:drawing>
          <wp:anchor distT="0" distB="0" distL="114300" distR="114300" simplePos="0" relativeHeight="251673600" behindDoc="0" locked="0" layoutInCell="1" allowOverlap="1" wp14:anchorId="34F926F9" wp14:editId="5558E138">
            <wp:simplePos x="0" y="0"/>
            <wp:positionH relativeFrom="column">
              <wp:posOffset>3361055</wp:posOffset>
            </wp:positionH>
            <wp:positionV relativeFrom="paragraph">
              <wp:posOffset>506518</wp:posOffset>
            </wp:positionV>
            <wp:extent cx="3521710" cy="1468967"/>
            <wp:effectExtent l="0" t="0" r="2540" b="0"/>
            <wp:wrapNone/>
            <wp:docPr id="20646834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w:t>
      </w:r>
      <w:r>
        <w:t>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903DBB" w14:paraId="3CFBD436" w14:textId="77777777" w:rsidTr="00301A6C">
        <w:trPr>
          <w:trHeight w:hRule="exact" w:val="567"/>
        </w:trPr>
        <w:tc>
          <w:tcPr>
            <w:tcW w:w="3256" w:type="dxa"/>
            <w:vAlign w:val="bottom"/>
          </w:tcPr>
          <w:p w14:paraId="473A8CA9" w14:textId="77777777" w:rsidR="00DF5E8D" w:rsidRPr="00DF5E8D" w:rsidRDefault="00B86CE1" w:rsidP="00BA1967">
            <w:pPr>
              <w:pStyle w:val="ESBodyText0"/>
              <w:rPr>
                <w:b/>
                <w:bCs/>
              </w:rPr>
            </w:pPr>
            <w:r>
              <w:rPr>
                <w:b/>
                <w:bCs/>
              </w:rPr>
              <w:t>School Climate</w:t>
            </w:r>
          </w:p>
        </w:tc>
        <w:tc>
          <w:tcPr>
            <w:tcW w:w="1139" w:type="dxa"/>
          </w:tcPr>
          <w:p w14:paraId="2C330963" w14:textId="77777777" w:rsidR="00DF5E8D" w:rsidRPr="00E346A0" w:rsidRDefault="00B86CE1" w:rsidP="00BA1967">
            <w:pPr>
              <w:pStyle w:val="ESBodyText0"/>
              <w:jc w:val="center"/>
              <w:rPr>
                <w:b/>
                <w:bCs/>
              </w:rPr>
            </w:pPr>
            <w:r w:rsidRPr="001B1C12">
              <w:t>Latest year (202</w:t>
            </w:r>
            <w:r>
              <w:t>1</w:t>
            </w:r>
            <w:r w:rsidRPr="001B1C12">
              <w:t>)</w:t>
            </w:r>
          </w:p>
        </w:tc>
      </w:tr>
      <w:tr w:rsidR="00903DBB" w14:paraId="3177AB6C" w14:textId="77777777" w:rsidTr="00301A6C">
        <w:trPr>
          <w:trHeight w:hRule="exact" w:val="680"/>
        </w:trPr>
        <w:tc>
          <w:tcPr>
            <w:tcW w:w="3256" w:type="dxa"/>
            <w:tcMar>
              <w:top w:w="57" w:type="dxa"/>
            </w:tcMar>
            <w:vAlign w:val="center"/>
          </w:tcPr>
          <w:p w14:paraId="2408ECC4" w14:textId="77777777" w:rsidR="00DF5E8D" w:rsidRDefault="00B86CE1"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056FEA2E" w14:textId="77777777" w:rsidR="00DF5E8D" w:rsidRDefault="00B86CE1" w:rsidP="00BA1967">
            <w:pPr>
              <w:pStyle w:val="ESBodyText0"/>
              <w:jc w:val="center"/>
            </w:pPr>
            <w:r>
              <w:t>63.7%</w:t>
            </w:r>
          </w:p>
        </w:tc>
      </w:tr>
      <w:tr w:rsidR="00903DBB" w14:paraId="0A18CD2D" w14:textId="77777777" w:rsidTr="00301A6C">
        <w:trPr>
          <w:trHeight w:hRule="exact" w:val="680"/>
        </w:trPr>
        <w:tc>
          <w:tcPr>
            <w:tcW w:w="3256" w:type="dxa"/>
            <w:tcMar>
              <w:top w:w="57" w:type="dxa"/>
            </w:tcMar>
            <w:vAlign w:val="center"/>
          </w:tcPr>
          <w:p w14:paraId="56F8175D" w14:textId="77777777" w:rsidR="00DF5E8D" w:rsidRDefault="00B86CE1"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6A52F6B" w14:textId="77777777" w:rsidR="00DF5E8D" w:rsidRDefault="00B86CE1" w:rsidP="00BA1967">
            <w:pPr>
              <w:pStyle w:val="ESBodyText0"/>
              <w:jc w:val="center"/>
            </w:pPr>
            <w:r>
              <w:t>75.8%</w:t>
            </w:r>
          </w:p>
        </w:tc>
      </w:tr>
    </w:tbl>
    <w:p w14:paraId="7483FEC0" w14:textId="77777777" w:rsidR="00DF5E8D" w:rsidRDefault="00B86CE1">
      <w:pPr>
        <w:pStyle w:val="ESBodyText0"/>
        <w:spacing w:after="240"/>
      </w:pPr>
    </w:p>
    <w:p w14:paraId="06D10FED" w14:textId="77777777" w:rsidR="009E6D61" w:rsidRDefault="00B86CE1">
      <w:pPr>
        <w:spacing w:after="0" w:line="240" w:lineRule="auto"/>
        <w:rPr>
          <w:u w:val="single"/>
        </w:rPr>
      </w:pPr>
      <w:r>
        <w:rPr>
          <w:u w:val="single"/>
        </w:rPr>
        <w:br w:type="page"/>
      </w:r>
    </w:p>
    <w:p w14:paraId="1D5CBA76" w14:textId="77777777" w:rsidR="009E6D61" w:rsidRDefault="00B86CE1" w:rsidP="00B637FF">
      <w:pPr>
        <w:pStyle w:val="Style10"/>
      </w:pPr>
      <w:r>
        <w:lastRenderedPageBreak/>
        <w:t>ACHIEVEMENT</w:t>
      </w:r>
    </w:p>
    <w:p w14:paraId="0969FFA9" w14:textId="77777777" w:rsidR="004777FF" w:rsidRDefault="00B86CE1"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4281B21D" w14:textId="77777777" w:rsidR="009E6D61" w:rsidRPr="00EB445D" w:rsidRDefault="00B86CE1" w:rsidP="00F14C40">
      <w:pPr>
        <w:pStyle w:val="ESHeading30"/>
        <w:rPr>
          <w:color w:val="auto"/>
        </w:rPr>
      </w:pPr>
      <w:r>
        <w:t>Teacher Judgement of student</w:t>
      </w:r>
      <w:r>
        <w:t xml:space="preserve"> achievement</w:t>
      </w:r>
      <w:r w:rsidRPr="00E346A0">
        <w:rPr>
          <w:noProof/>
        </w:rPr>
        <w:t xml:space="preserve"> </w:t>
      </w:r>
    </w:p>
    <w:p w14:paraId="049AD376" w14:textId="77777777" w:rsidR="00E5145E" w:rsidRDefault="00B86CE1" w:rsidP="006D6BB2">
      <w:pPr>
        <w:pStyle w:val="ESBodyText0"/>
      </w:pPr>
      <w:r>
        <w:t>Percentage of students working at or above age expected standards in</w:t>
      </w:r>
      <w:r>
        <w:t xml:space="preserve"> English and Mathematics.</w:t>
      </w:r>
    </w:p>
    <w:p w14:paraId="42AF0FF0" w14:textId="77777777" w:rsidR="006D6BB2" w:rsidRDefault="00B86CE1" w:rsidP="00B86B64">
      <w:pPr>
        <w:pStyle w:val="ESBodyText0"/>
        <w:spacing w:after="0" w:line="240" w:lineRule="auto"/>
      </w:pPr>
      <w:r>
        <w:rPr>
          <w:noProof/>
        </w:rPr>
        <w:drawing>
          <wp:anchor distT="0" distB="0" distL="114300" distR="114300" simplePos="0" relativeHeight="251672576" behindDoc="0" locked="0" layoutInCell="1" allowOverlap="1" wp14:anchorId="4DC4F51D" wp14:editId="17FC3639">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903DBB" w14:paraId="5C476003" w14:textId="77777777" w:rsidTr="00301A6C">
        <w:tc>
          <w:tcPr>
            <w:tcW w:w="3681" w:type="dxa"/>
            <w:vAlign w:val="bottom"/>
          </w:tcPr>
          <w:p w14:paraId="51033B42" w14:textId="77777777" w:rsidR="00E346A0" w:rsidRDefault="00B86CE1" w:rsidP="00E346A0">
            <w:pPr>
              <w:spacing w:after="0" w:line="240" w:lineRule="auto"/>
              <w:rPr>
                <w:rFonts w:eastAsia="Times New Roman"/>
                <w:b/>
                <w:bCs/>
                <w:color w:val="000000"/>
                <w:lang w:val="en-AU" w:eastAsia="en-AU"/>
              </w:rPr>
            </w:pPr>
            <w:bookmarkStart w:id="3" w:name="_Hlk47698494"/>
            <w:r w:rsidRPr="000E2D23">
              <w:rPr>
                <w:rFonts w:eastAsia="Times New Roman"/>
                <w:b/>
                <w:bCs/>
                <w:color w:val="000000"/>
                <w:lang w:val="en-AU" w:eastAsia="en-AU"/>
              </w:rPr>
              <w:t>English</w:t>
            </w:r>
          </w:p>
          <w:bookmarkEnd w:id="3"/>
          <w:p w14:paraId="0405415A" w14:textId="77777777" w:rsidR="00E346A0" w:rsidRDefault="00B86CE1"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58A8BC29" w14:textId="77777777" w:rsidR="00E346A0" w:rsidRPr="00E346A0" w:rsidRDefault="00B86CE1" w:rsidP="00E346A0">
            <w:pPr>
              <w:pStyle w:val="ESBodyText0"/>
              <w:jc w:val="center"/>
              <w:rPr>
                <w:b/>
                <w:bCs/>
              </w:rPr>
            </w:pPr>
            <w:r w:rsidRPr="001B1C12">
              <w:t>Latest year (202</w:t>
            </w:r>
            <w:r>
              <w:t>1</w:t>
            </w:r>
            <w:r w:rsidRPr="001B1C12">
              <w:t>)</w:t>
            </w:r>
          </w:p>
        </w:tc>
      </w:tr>
      <w:tr w:rsidR="00903DBB" w14:paraId="67918ADB" w14:textId="77777777" w:rsidTr="00301A6C">
        <w:trPr>
          <w:trHeight w:hRule="exact" w:val="567"/>
        </w:trPr>
        <w:tc>
          <w:tcPr>
            <w:tcW w:w="3681" w:type="dxa"/>
            <w:tcMar>
              <w:top w:w="57" w:type="dxa"/>
            </w:tcMar>
            <w:vAlign w:val="center"/>
          </w:tcPr>
          <w:p w14:paraId="393B3B3E" w14:textId="77777777" w:rsidR="00E346A0" w:rsidRDefault="00B86CE1"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05C7F6F" w14:textId="77777777" w:rsidR="00E346A0" w:rsidRDefault="00B86CE1" w:rsidP="00E346A0">
            <w:pPr>
              <w:pStyle w:val="ESBodyText0"/>
              <w:jc w:val="center"/>
            </w:pPr>
            <w:r>
              <w:t>89.9%</w:t>
            </w:r>
          </w:p>
        </w:tc>
      </w:tr>
      <w:tr w:rsidR="00903DBB" w14:paraId="4A334078" w14:textId="77777777" w:rsidTr="00301A6C">
        <w:trPr>
          <w:trHeight w:hRule="exact" w:val="567"/>
        </w:trPr>
        <w:tc>
          <w:tcPr>
            <w:tcW w:w="3681" w:type="dxa"/>
            <w:tcMar>
              <w:top w:w="57" w:type="dxa"/>
            </w:tcMar>
            <w:vAlign w:val="center"/>
          </w:tcPr>
          <w:p w14:paraId="5588E2FA" w14:textId="77777777" w:rsidR="00E346A0" w:rsidRDefault="00B86CE1"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7F786E7A" w14:textId="77777777" w:rsidR="00E346A0" w:rsidRPr="00E346A0" w:rsidRDefault="00B86CE1" w:rsidP="00E346A0">
            <w:pPr>
              <w:pStyle w:val="ESBodyText0"/>
              <w:jc w:val="center"/>
              <w:rPr>
                <w:color w:val="FFFFFF" w:themeColor="background1"/>
              </w:rPr>
            </w:pPr>
            <w:r>
              <w:rPr>
                <w:color w:val="FFFFFF" w:themeColor="background1"/>
              </w:rPr>
              <w:t>84.6%</w:t>
            </w:r>
          </w:p>
        </w:tc>
      </w:tr>
      <w:tr w:rsidR="00903DBB" w14:paraId="667EB361" w14:textId="77777777" w:rsidTr="00301A6C">
        <w:trPr>
          <w:trHeight w:hRule="exact" w:val="567"/>
        </w:trPr>
        <w:tc>
          <w:tcPr>
            <w:tcW w:w="3681" w:type="dxa"/>
            <w:tcMar>
              <w:top w:w="57" w:type="dxa"/>
            </w:tcMar>
            <w:vAlign w:val="center"/>
          </w:tcPr>
          <w:p w14:paraId="2B3D2911" w14:textId="77777777" w:rsidR="00E346A0" w:rsidRDefault="00B86CE1"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45D331C" w14:textId="77777777" w:rsidR="00E346A0" w:rsidRDefault="00B86CE1" w:rsidP="00E346A0">
            <w:pPr>
              <w:pStyle w:val="ESBodyText0"/>
              <w:jc w:val="center"/>
            </w:pPr>
            <w:r>
              <w:t>86.2%</w:t>
            </w:r>
          </w:p>
        </w:tc>
      </w:tr>
    </w:tbl>
    <w:p w14:paraId="25B473E5" w14:textId="77777777" w:rsidR="00E346A0" w:rsidRDefault="00B86CE1" w:rsidP="006D6BB2">
      <w:pPr>
        <w:pStyle w:val="ESBodyText0"/>
      </w:pPr>
    </w:p>
    <w:p w14:paraId="16CEE200" w14:textId="77777777" w:rsidR="00E346A0" w:rsidRDefault="00B86CE1" w:rsidP="006D6BB2">
      <w:pPr>
        <w:pStyle w:val="ESBodyText0"/>
      </w:pPr>
    </w:p>
    <w:p w14:paraId="19C0CA42" w14:textId="77777777" w:rsidR="00E346A0" w:rsidRDefault="00B86CE1" w:rsidP="006D6BB2">
      <w:pPr>
        <w:pStyle w:val="ESBodyText0"/>
      </w:pPr>
    </w:p>
    <w:p w14:paraId="141BF88E" w14:textId="77777777" w:rsidR="00E346A0" w:rsidRDefault="00B86CE1" w:rsidP="0055455C">
      <w:pPr>
        <w:pStyle w:val="ESBodyText0"/>
        <w:spacing w:after="0" w:line="240" w:lineRule="auto"/>
      </w:pPr>
      <w:r>
        <w:rPr>
          <w:noProof/>
        </w:rPr>
        <w:drawing>
          <wp:anchor distT="0" distB="0" distL="114300" distR="114300" simplePos="0" relativeHeight="251671552" behindDoc="0" locked="0" layoutInCell="1" allowOverlap="1" wp14:anchorId="41B8F6A2" wp14:editId="6FDA7B17">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903DBB" w14:paraId="457E89F9" w14:textId="77777777" w:rsidTr="00301A6C">
        <w:tc>
          <w:tcPr>
            <w:tcW w:w="3681" w:type="dxa"/>
            <w:vAlign w:val="bottom"/>
          </w:tcPr>
          <w:p w14:paraId="101B2A5E" w14:textId="77777777" w:rsidR="00E346A0" w:rsidRDefault="00B86CE1"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7D351643" w14:textId="77777777" w:rsidR="00E346A0" w:rsidRDefault="00B86CE1"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78A3F86E" w14:textId="77777777" w:rsidR="00E346A0" w:rsidRPr="00E346A0" w:rsidRDefault="00B86CE1" w:rsidP="00BA1967">
            <w:pPr>
              <w:pStyle w:val="ESBodyText0"/>
              <w:jc w:val="center"/>
              <w:rPr>
                <w:b/>
                <w:bCs/>
              </w:rPr>
            </w:pPr>
            <w:r w:rsidRPr="001B1C12">
              <w:t>Latest year (202</w:t>
            </w:r>
            <w:r>
              <w:t>1</w:t>
            </w:r>
            <w:r w:rsidRPr="001B1C12">
              <w:t>)</w:t>
            </w:r>
          </w:p>
        </w:tc>
      </w:tr>
      <w:tr w:rsidR="00903DBB" w14:paraId="59C0BEBC" w14:textId="77777777" w:rsidTr="00301A6C">
        <w:trPr>
          <w:trHeight w:hRule="exact" w:val="567"/>
        </w:trPr>
        <w:tc>
          <w:tcPr>
            <w:tcW w:w="3681" w:type="dxa"/>
            <w:tcMar>
              <w:top w:w="57" w:type="dxa"/>
            </w:tcMar>
            <w:vAlign w:val="center"/>
          </w:tcPr>
          <w:p w14:paraId="227FF298" w14:textId="77777777" w:rsidR="00E346A0" w:rsidRDefault="00B86CE1"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18A8298" w14:textId="77777777" w:rsidR="00E346A0" w:rsidRDefault="00B86CE1" w:rsidP="00BA1967">
            <w:pPr>
              <w:pStyle w:val="ESBodyText0"/>
              <w:jc w:val="center"/>
            </w:pPr>
            <w:r>
              <w:t>89.2%</w:t>
            </w:r>
          </w:p>
        </w:tc>
      </w:tr>
      <w:tr w:rsidR="00903DBB" w14:paraId="24C3CE40" w14:textId="77777777" w:rsidTr="00301A6C">
        <w:trPr>
          <w:trHeight w:hRule="exact" w:val="567"/>
        </w:trPr>
        <w:tc>
          <w:tcPr>
            <w:tcW w:w="3681" w:type="dxa"/>
            <w:tcMar>
              <w:top w:w="57" w:type="dxa"/>
            </w:tcMar>
            <w:vAlign w:val="center"/>
          </w:tcPr>
          <w:p w14:paraId="52621101" w14:textId="77777777" w:rsidR="00E346A0" w:rsidRDefault="00B86CE1"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173343FC" w14:textId="77777777" w:rsidR="00E346A0" w:rsidRPr="00E346A0" w:rsidRDefault="00B86CE1" w:rsidP="00BA1967">
            <w:pPr>
              <w:pStyle w:val="ESBodyText0"/>
              <w:jc w:val="center"/>
              <w:rPr>
                <w:color w:val="FFFFFF" w:themeColor="background1"/>
              </w:rPr>
            </w:pPr>
            <w:r>
              <w:rPr>
                <w:color w:val="FFFFFF" w:themeColor="background1"/>
              </w:rPr>
              <w:t>84.3%</w:t>
            </w:r>
          </w:p>
        </w:tc>
      </w:tr>
      <w:tr w:rsidR="00903DBB" w14:paraId="27CBE254" w14:textId="77777777" w:rsidTr="00301A6C">
        <w:trPr>
          <w:trHeight w:hRule="exact" w:val="567"/>
        </w:trPr>
        <w:tc>
          <w:tcPr>
            <w:tcW w:w="3681" w:type="dxa"/>
            <w:tcMar>
              <w:top w:w="57" w:type="dxa"/>
            </w:tcMar>
            <w:vAlign w:val="center"/>
          </w:tcPr>
          <w:p w14:paraId="06CC2D78" w14:textId="77777777" w:rsidR="00E346A0" w:rsidRDefault="00B86CE1"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1F8FB41" w14:textId="77777777" w:rsidR="00E346A0" w:rsidRDefault="00B86CE1" w:rsidP="00BA1967">
            <w:pPr>
              <w:pStyle w:val="ESBodyText0"/>
              <w:jc w:val="center"/>
            </w:pPr>
            <w:r>
              <w:t>84.9%</w:t>
            </w:r>
          </w:p>
        </w:tc>
      </w:tr>
    </w:tbl>
    <w:p w14:paraId="53B671B4" w14:textId="77777777" w:rsidR="00E346A0" w:rsidRDefault="00B86CE1" w:rsidP="006D6BB2">
      <w:pPr>
        <w:pStyle w:val="ESBodyText0"/>
      </w:pPr>
    </w:p>
    <w:p w14:paraId="1934E148" w14:textId="77777777" w:rsidR="00E346A0" w:rsidRDefault="00B86CE1" w:rsidP="006D6BB2">
      <w:pPr>
        <w:pStyle w:val="ESBodyText0"/>
      </w:pPr>
    </w:p>
    <w:p w14:paraId="1CB3474C" w14:textId="77777777" w:rsidR="00693B34" w:rsidRDefault="00B86CE1">
      <w:pPr>
        <w:spacing w:after="0" w:line="240" w:lineRule="auto"/>
      </w:pPr>
      <w:r>
        <w:br w:type="page"/>
      </w:r>
    </w:p>
    <w:p w14:paraId="24C2F4AB" w14:textId="77777777" w:rsidR="00693B34" w:rsidRDefault="00B86CE1" w:rsidP="00693B34">
      <w:pPr>
        <w:pStyle w:val="Style10"/>
      </w:pPr>
      <w:r>
        <w:lastRenderedPageBreak/>
        <w:t>ACHIEVEMENT (continued)</w:t>
      </w:r>
    </w:p>
    <w:p w14:paraId="66311797" w14:textId="77777777" w:rsidR="00693B34" w:rsidRDefault="00B86CE1" w:rsidP="00693B34">
      <w:pPr>
        <w:pStyle w:val="ESBodyText0"/>
        <w:spacing w:before="240" w:line="240" w:lineRule="auto"/>
        <w:ind w:left="567" w:hanging="567"/>
        <w:rPr>
          <w:b/>
          <w:i/>
        </w:rPr>
      </w:pPr>
      <w:r>
        <w:rPr>
          <w:b/>
          <w:i/>
        </w:rPr>
        <w:t>Key:</w:t>
      </w:r>
      <w:r>
        <w:rPr>
          <w:b/>
          <w:i/>
        </w:rPr>
        <w:tab/>
        <w:t xml:space="preserve">‘Similar </w:t>
      </w:r>
      <w:r>
        <w:rPr>
          <w:b/>
          <w:i/>
        </w:rPr>
        <w:t>Schools’ are a group of Victorian government schools that are like this school, taking into account the school’s socioeconomic background of students, the number of non-English speaking students and the size and location of the school.</w:t>
      </w:r>
    </w:p>
    <w:p w14:paraId="0462E309" w14:textId="77777777" w:rsidR="00693B34" w:rsidRDefault="00B86CE1" w:rsidP="00693B34">
      <w:pPr>
        <w:pStyle w:val="ESHeading30"/>
      </w:pPr>
      <w:r w:rsidRPr="00EA3964">
        <w:t>NAPLAN</w:t>
      </w:r>
    </w:p>
    <w:p w14:paraId="60AC8850" w14:textId="77777777" w:rsidR="00693B34" w:rsidRDefault="00B86CE1" w:rsidP="00693B34">
      <w:pPr>
        <w:pStyle w:val="ESBodyText0"/>
      </w:pPr>
      <w:r>
        <w:t>Percentage of</w:t>
      </w:r>
      <w:r>
        <w:t xml:space="preserve"> students in the top three bands of testing in NAPLAN.</w:t>
      </w:r>
      <w:r w:rsidRPr="00B90DA3">
        <w:rPr>
          <w:noProof/>
        </w:rPr>
        <w:t xml:space="preserve"> </w:t>
      </w:r>
    </w:p>
    <w:p w14:paraId="55F6602B" w14:textId="77777777" w:rsidR="00693B34" w:rsidRDefault="00B86CE1" w:rsidP="00693B34">
      <w:pPr>
        <w:pStyle w:val="ESBodyText0"/>
      </w:pPr>
      <w:r>
        <w:t>Note: NAPLAN tests were not conducted in 2020, hence the 4-year average is the average of 2018, 2019 and 2021 data.</w:t>
      </w:r>
      <w:r w:rsidRPr="00B90DA3">
        <w:rPr>
          <w:noProof/>
        </w:rPr>
        <w:t xml:space="preserve"> </w:t>
      </w:r>
    </w:p>
    <w:p w14:paraId="67D43C2B" w14:textId="77777777" w:rsidR="00693B34" w:rsidRDefault="00B86CE1" w:rsidP="00693B34">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14:anchorId="2BB1242F" wp14:editId="45C5D83F">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3DBB" w14:paraId="5DFB2162" w14:textId="77777777" w:rsidTr="00C14862">
        <w:tc>
          <w:tcPr>
            <w:tcW w:w="2835" w:type="dxa"/>
            <w:vAlign w:val="bottom"/>
          </w:tcPr>
          <w:p w14:paraId="541522B3" w14:textId="77777777" w:rsidR="00693B34" w:rsidRDefault="00B86CE1"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9E10824" w14:textId="77777777" w:rsidR="00693B34" w:rsidRPr="00B20B33" w:rsidRDefault="00B86CE1"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5902221F" w14:textId="77777777" w:rsidR="00693B34" w:rsidRDefault="00B86CE1" w:rsidP="00C14862">
            <w:pPr>
              <w:pStyle w:val="ESBodyText0"/>
              <w:spacing w:line="240" w:lineRule="auto"/>
              <w:jc w:val="center"/>
            </w:pPr>
            <w:r>
              <w:t>Latest year (2021)</w:t>
            </w:r>
          </w:p>
        </w:tc>
        <w:tc>
          <w:tcPr>
            <w:tcW w:w="1132" w:type="dxa"/>
            <w:vAlign w:val="bottom"/>
          </w:tcPr>
          <w:p w14:paraId="41E3DF52" w14:textId="77777777" w:rsidR="00693B34" w:rsidRDefault="00B86CE1" w:rsidP="00C14862">
            <w:pPr>
              <w:pStyle w:val="ESBodyText0"/>
              <w:spacing w:line="240" w:lineRule="auto"/>
              <w:jc w:val="center"/>
            </w:pPr>
            <w:r>
              <w:t>4-year average</w:t>
            </w:r>
          </w:p>
        </w:tc>
      </w:tr>
      <w:tr w:rsidR="00903DBB" w14:paraId="538EBB4F" w14:textId="77777777" w:rsidTr="00C14862">
        <w:trPr>
          <w:trHeight w:hRule="exact" w:val="567"/>
        </w:trPr>
        <w:tc>
          <w:tcPr>
            <w:tcW w:w="2835" w:type="dxa"/>
            <w:tcMar>
              <w:top w:w="57" w:type="dxa"/>
            </w:tcMar>
            <w:vAlign w:val="center"/>
          </w:tcPr>
          <w:p w14:paraId="063C8937" w14:textId="77777777" w:rsidR="00693B34" w:rsidRDefault="00B86CE1"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5B68C9F0" w14:textId="77777777" w:rsidR="00693B34" w:rsidRDefault="00B86CE1" w:rsidP="00C14862">
            <w:pPr>
              <w:pStyle w:val="ESBodyText0"/>
              <w:spacing w:line="240" w:lineRule="auto"/>
              <w:jc w:val="center"/>
            </w:pPr>
            <w:r>
              <w:t>78.8%</w:t>
            </w:r>
          </w:p>
        </w:tc>
        <w:tc>
          <w:tcPr>
            <w:tcW w:w="1132" w:type="dxa"/>
            <w:tcBorders>
              <w:bottom w:val="single" w:sz="4" w:space="0" w:color="FFFFFF" w:themeColor="background1"/>
            </w:tcBorders>
            <w:shd w:val="clear" w:color="auto" w:fill="FFC000"/>
            <w:tcMar>
              <w:top w:w="57" w:type="dxa"/>
            </w:tcMar>
            <w:vAlign w:val="center"/>
          </w:tcPr>
          <w:p w14:paraId="5E17D68D" w14:textId="77777777" w:rsidR="00693B34" w:rsidRDefault="00B86CE1" w:rsidP="00C14862">
            <w:pPr>
              <w:pStyle w:val="ESBodyText0"/>
              <w:spacing w:line="240" w:lineRule="auto"/>
              <w:jc w:val="center"/>
            </w:pPr>
            <w:r>
              <w:t>74.8%</w:t>
            </w:r>
          </w:p>
        </w:tc>
      </w:tr>
      <w:tr w:rsidR="00903DBB" w14:paraId="352811D5" w14:textId="77777777" w:rsidTr="00C14862">
        <w:trPr>
          <w:trHeight w:hRule="exact" w:val="567"/>
        </w:trPr>
        <w:tc>
          <w:tcPr>
            <w:tcW w:w="2835" w:type="dxa"/>
            <w:tcMar>
              <w:top w:w="57" w:type="dxa"/>
            </w:tcMar>
            <w:vAlign w:val="center"/>
          </w:tcPr>
          <w:p w14:paraId="25B4A89B" w14:textId="77777777" w:rsidR="00693B34" w:rsidRDefault="00B86CE1"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EB51329" w14:textId="77777777" w:rsidR="00693B34" w:rsidRPr="00B20B33" w:rsidRDefault="00B86CE1" w:rsidP="00C14862">
            <w:pPr>
              <w:pStyle w:val="ESBodyText0"/>
              <w:spacing w:line="240" w:lineRule="auto"/>
              <w:jc w:val="center"/>
              <w:rPr>
                <w:color w:val="FFFFFF" w:themeColor="background1"/>
              </w:rPr>
            </w:pPr>
            <w:r>
              <w:rPr>
                <w:color w:val="FFFFFF" w:themeColor="background1"/>
              </w:rPr>
              <w:t>73.9%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3ACBEFF" w14:textId="77777777" w:rsidR="00693B34" w:rsidRPr="00B20B33" w:rsidRDefault="00B86CE1" w:rsidP="00C14862">
            <w:pPr>
              <w:pStyle w:val="ESBodyText0"/>
              <w:spacing w:line="240" w:lineRule="auto"/>
              <w:jc w:val="center"/>
              <w:rPr>
                <w:color w:val="FFFFFF" w:themeColor="background1"/>
              </w:rPr>
            </w:pPr>
            <w:r>
              <w:rPr>
                <w:color w:val="FFFFFF" w:themeColor="background1"/>
              </w:rPr>
              <w:t>73.8%</w:t>
            </w:r>
          </w:p>
        </w:tc>
      </w:tr>
      <w:tr w:rsidR="00903DBB" w14:paraId="0865956D" w14:textId="77777777" w:rsidTr="00C14862">
        <w:trPr>
          <w:trHeight w:hRule="exact" w:val="567"/>
        </w:trPr>
        <w:tc>
          <w:tcPr>
            <w:tcW w:w="2835" w:type="dxa"/>
            <w:tcMar>
              <w:top w:w="57" w:type="dxa"/>
            </w:tcMar>
            <w:vAlign w:val="center"/>
          </w:tcPr>
          <w:p w14:paraId="5D40E002" w14:textId="77777777" w:rsidR="00693B34" w:rsidRDefault="00B86CE1"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CDE9F72" w14:textId="77777777" w:rsidR="00693B34" w:rsidRDefault="00B86CE1" w:rsidP="00C14862">
            <w:pPr>
              <w:pStyle w:val="ESBodyText0"/>
              <w:spacing w:line="240" w:lineRule="auto"/>
              <w:jc w:val="center"/>
            </w:pPr>
            <w:r>
              <w:t>76.9%</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3978F6A" w14:textId="77777777" w:rsidR="00693B34" w:rsidRDefault="00B86CE1" w:rsidP="00C14862">
            <w:pPr>
              <w:pStyle w:val="ESBodyText0"/>
              <w:spacing w:line="240" w:lineRule="auto"/>
              <w:jc w:val="center"/>
            </w:pPr>
            <w:r>
              <w:t>76.5%</w:t>
            </w:r>
          </w:p>
        </w:tc>
      </w:tr>
    </w:tbl>
    <w:p w14:paraId="3C2227C0" w14:textId="77777777" w:rsidR="00693B34" w:rsidRDefault="00B86CE1" w:rsidP="00693B34">
      <w:pPr>
        <w:spacing w:after="0" w:line="240" w:lineRule="auto"/>
        <w:rPr>
          <w:rFonts w:eastAsia="Times New Roman"/>
          <w:b/>
          <w:bCs/>
          <w:color w:val="000000"/>
          <w:lang w:val="en-AU" w:eastAsia="en-AU"/>
        </w:rPr>
      </w:pPr>
    </w:p>
    <w:p w14:paraId="055BD096" w14:textId="77777777" w:rsidR="00693B34" w:rsidRDefault="00B86CE1" w:rsidP="00693B34">
      <w:pPr>
        <w:spacing w:after="0" w:line="240" w:lineRule="auto"/>
        <w:rPr>
          <w:rFonts w:eastAsia="Times New Roman"/>
          <w:b/>
          <w:bCs/>
          <w:color w:val="000000"/>
          <w:lang w:val="en-AU" w:eastAsia="en-AU"/>
        </w:rPr>
      </w:pPr>
    </w:p>
    <w:p w14:paraId="2E5DCA2F" w14:textId="77777777" w:rsidR="00693B34" w:rsidRDefault="00B86CE1" w:rsidP="00693B34">
      <w:pPr>
        <w:spacing w:after="0" w:line="240" w:lineRule="auto"/>
        <w:rPr>
          <w:rFonts w:eastAsia="Times New Roman"/>
          <w:b/>
          <w:bCs/>
          <w:color w:val="000000"/>
          <w:lang w:val="en-AU" w:eastAsia="en-AU"/>
        </w:rPr>
      </w:pPr>
    </w:p>
    <w:p w14:paraId="5F222FAF" w14:textId="77777777" w:rsidR="00693B34" w:rsidRDefault="00B86CE1" w:rsidP="00693B34">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14:anchorId="5205B311" wp14:editId="3FB36646">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3DBB" w14:paraId="0D626EA5" w14:textId="77777777" w:rsidTr="00C14862">
        <w:tc>
          <w:tcPr>
            <w:tcW w:w="2835" w:type="dxa"/>
            <w:vAlign w:val="bottom"/>
          </w:tcPr>
          <w:p w14:paraId="3D8C38C5" w14:textId="77777777" w:rsidR="00693B34" w:rsidRDefault="00B86CE1"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76AC27F" w14:textId="77777777" w:rsidR="00693B34" w:rsidRPr="00B20B33" w:rsidRDefault="00B86CE1"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65B44F50" w14:textId="77777777" w:rsidR="00693B34" w:rsidRDefault="00B86CE1" w:rsidP="00C14862">
            <w:pPr>
              <w:pStyle w:val="ESBodyText0"/>
              <w:spacing w:line="240" w:lineRule="auto"/>
              <w:jc w:val="center"/>
            </w:pPr>
            <w:r>
              <w:t>Latest year (2021)</w:t>
            </w:r>
          </w:p>
        </w:tc>
        <w:tc>
          <w:tcPr>
            <w:tcW w:w="1132" w:type="dxa"/>
            <w:vAlign w:val="bottom"/>
          </w:tcPr>
          <w:p w14:paraId="51538D59" w14:textId="77777777" w:rsidR="00693B34" w:rsidRDefault="00B86CE1" w:rsidP="00C14862">
            <w:pPr>
              <w:pStyle w:val="ESBodyText0"/>
              <w:spacing w:line="240" w:lineRule="auto"/>
              <w:jc w:val="center"/>
            </w:pPr>
            <w:r>
              <w:t>4-year average</w:t>
            </w:r>
          </w:p>
        </w:tc>
      </w:tr>
      <w:tr w:rsidR="00903DBB" w14:paraId="655A498E" w14:textId="77777777" w:rsidTr="00C14862">
        <w:trPr>
          <w:trHeight w:hRule="exact" w:val="567"/>
        </w:trPr>
        <w:tc>
          <w:tcPr>
            <w:tcW w:w="2835" w:type="dxa"/>
            <w:tcMar>
              <w:top w:w="57" w:type="dxa"/>
            </w:tcMar>
            <w:vAlign w:val="center"/>
          </w:tcPr>
          <w:p w14:paraId="143B6538" w14:textId="77777777" w:rsidR="00B90DA3" w:rsidRDefault="00B86CE1"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5A6CE70" w14:textId="77777777" w:rsidR="00B90DA3" w:rsidRDefault="00B86CE1" w:rsidP="00B90DA3">
            <w:pPr>
              <w:pStyle w:val="ESBodyText0"/>
              <w:spacing w:line="240" w:lineRule="auto"/>
              <w:jc w:val="center"/>
            </w:pPr>
            <w:r>
              <w:t>64.1%</w:t>
            </w:r>
          </w:p>
        </w:tc>
        <w:tc>
          <w:tcPr>
            <w:tcW w:w="1132" w:type="dxa"/>
            <w:tcBorders>
              <w:bottom w:val="single" w:sz="4" w:space="0" w:color="FFFFFF" w:themeColor="background1"/>
            </w:tcBorders>
            <w:shd w:val="clear" w:color="auto" w:fill="FFC000"/>
            <w:tcMar>
              <w:top w:w="57" w:type="dxa"/>
            </w:tcMar>
            <w:vAlign w:val="center"/>
          </w:tcPr>
          <w:p w14:paraId="2B4A8843" w14:textId="77777777" w:rsidR="00B90DA3" w:rsidRDefault="00B86CE1" w:rsidP="00B90DA3">
            <w:pPr>
              <w:pStyle w:val="ESBodyText0"/>
              <w:spacing w:line="240" w:lineRule="auto"/>
              <w:jc w:val="center"/>
            </w:pPr>
            <w:r>
              <w:t>62.8%</w:t>
            </w:r>
          </w:p>
        </w:tc>
      </w:tr>
      <w:tr w:rsidR="00903DBB" w14:paraId="38759057" w14:textId="77777777" w:rsidTr="00C14862">
        <w:trPr>
          <w:trHeight w:hRule="exact" w:val="567"/>
        </w:trPr>
        <w:tc>
          <w:tcPr>
            <w:tcW w:w="2835" w:type="dxa"/>
            <w:tcMar>
              <w:top w:w="57" w:type="dxa"/>
            </w:tcMar>
            <w:vAlign w:val="center"/>
          </w:tcPr>
          <w:p w14:paraId="53C4B6E9" w14:textId="77777777" w:rsidR="00B90DA3" w:rsidRDefault="00B86CE1"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CA9D8D1" w14:textId="77777777" w:rsidR="00B90DA3" w:rsidRPr="00B20B33" w:rsidRDefault="00B86CE1" w:rsidP="00B90DA3">
            <w:pPr>
              <w:pStyle w:val="ESBodyText0"/>
              <w:spacing w:line="240" w:lineRule="auto"/>
              <w:jc w:val="center"/>
              <w:rPr>
                <w:color w:val="FFFFFF" w:themeColor="background1"/>
              </w:rPr>
            </w:pPr>
            <w:r>
              <w:rPr>
                <w:color w:val="FFFFFF" w:themeColor="background1"/>
              </w:rPr>
              <w:t>67.1%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AEFB167" w14:textId="77777777" w:rsidR="00B90DA3" w:rsidRPr="00B20B33" w:rsidRDefault="00B86CE1" w:rsidP="00B90DA3">
            <w:pPr>
              <w:pStyle w:val="ESBodyText0"/>
              <w:spacing w:line="240" w:lineRule="auto"/>
              <w:jc w:val="center"/>
              <w:rPr>
                <w:color w:val="FFFFFF" w:themeColor="background1"/>
              </w:rPr>
            </w:pPr>
            <w:r>
              <w:rPr>
                <w:color w:val="FFFFFF" w:themeColor="background1"/>
              </w:rPr>
              <w:t>66.6%</w:t>
            </w:r>
          </w:p>
        </w:tc>
      </w:tr>
      <w:tr w:rsidR="00903DBB" w14:paraId="1566126F" w14:textId="77777777" w:rsidTr="00C14862">
        <w:trPr>
          <w:trHeight w:hRule="exact" w:val="567"/>
        </w:trPr>
        <w:tc>
          <w:tcPr>
            <w:tcW w:w="2835" w:type="dxa"/>
            <w:tcMar>
              <w:top w:w="57" w:type="dxa"/>
            </w:tcMar>
            <w:vAlign w:val="center"/>
          </w:tcPr>
          <w:p w14:paraId="112F1DDE" w14:textId="77777777" w:rsidR="00B90DA3" w:rsidRDefault="00B86CE1"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7999355" w14:textId="77777777" w:rsidR="00B90DA3" w:rsidRDefault="00B86CE1" w:rsidP="00B90DA3">
            <w:pPr>
              <w:pStyle w:val="ESBodyText0"/>
              <w:spacing w:line="240" w:lineRule="auto"/>
              <w:jc w:val="center"/>
            </w:pPr>
            <w:r>
              <w:t>70.4%</w:t>
            </w:r>
          </w:p>
        </w:tc>
        <w:tc>
          <w:tcPr>
            <w:tcW w:w="1132" w:type="dxa"/>
            <w:tcBorders>
              <w:top w:val="single" w:sz="4" w:space="0" w:color="FFFFFF" w:themeColor="background1"/>
            </w:tcBorders>
            <w:shd w:val="clear" w:color="auto" w:fill="A6A6A6" w:themeFill="background1" w:themeFillShade="A6"/>
            <w:tcMar>
              <w:top w:w="57" w:type="dxa"/>
            </w:tcMar>
            <w:vAlign w:val="center"/>
          </w:tcPr>
          <w:p w14:paraId="39B5FADF" w14:textId="77777777" w:rsidR="00B90DA3" w:rsidRDefault="00B86CE1" w:rsidP="00B90DA3">
            <w:pPr>
              <w:pStyle w:val="ESBodyText0"/>
              <w:spacing w:line="240" w:lineRule="auto"/>
              <w:jc w:val="center"/>
            </w:pPr>
            <w:r>
              <w:t>67.7%</w:t>
            </w:r>
          </w:p>
        </w:tc>
      </w:tr>
    </w:tbl>
    <w:p w14:paraId="07DDE280" w14:textId="77777777" w:rsidR="00693B34" w:rsidRDefault="00B86CE1" w:rsidP="00693B34">
      <w:pPr>
        <w:spacing w:after="0" w:line="240" w:lineRule="auto"/>
        <w:rPr>
          <w:rFonts w:eastAsia="Arial" w:cs="Times New Roman"/>
          <w:color w:val="000000"/>
          <w:szCs w:val="20"/>
        </w:rPr>
      </w:pPr>
    </w:p>
    <w:p w14:paraId="6647087D" w14:textId="77777777" w:rsidR="00693B34" w:rsidRDefault="00B86CE1" w:rsidP="00693B34">
      <w:pPr>
        <w:pStyle w:val="ESBodyText0"/>
        <w:spacing w:after="0" w:line="240" w:lineRule="auto"/>
        <w:rPr>
          <w:rFonts w:eastAsia="Arial" w:cs="Times New Roman"/>
          <w:color w:val="000000"/>
          <w:szCs w:val="20"/>
        </w:rPr>
      </w:pPr>
    </w:p>
    <w:p w14:paraId="4E1D81E5" w14:textId="77777777" w:rsidR="00693B34" w:rsidRDefault="00B86CE1" w:rsidP="00693B34">
      <w:pPr>
        <w:pStyle w:val="ESHeading30"/>
        <w:spacing w:before="0"/>
      </w:pPr>
      <w:r>
        <w:rPr>
          <w:noProof/>
        </w:rPr>
        <w:drawing>
          <wp:anchor distT="0" distB="0" distL="114300" distR="114300" simplePos="0" relativeHeight="251664384" behindDoc="0" locked="0" layoutInCell="1" allowOverlap="1" wp14:anchorId="60674FC3" wp14:editId="766BDEDA">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3DBB" w14:paraId="40E81D87" w14:textId="77777777" w:rsidTr="00C14862">
        <w:tc>
          <w:tcPr>
            <w:tcW w:w="2835" w:type="dxa"/>
            <w:vAlign w:val="bottom"/>
          </w:tcPr>
          <w:p w14:paraId="5D0D09E7" w14:textId="77777777" w:rsidR="00693B34" w:rsidRDefault="00B86CE1"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841C958" w14:textId="77777777" w:rsidR="00693B34" w:rsidRPr="00B20B33" w:rsidRDefault="00B86CE1"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6ED61A6B" w14:textId="77777777" w:rsidR="00693B34" w:rsidRDefault="00B86CE1" w:rsidP="00C14862">
            <w:pPr>
              <w:pStyle w:val="ESBodyText0"/>
              <w:spacing w:line="240" w:lineRule="auto"/>
              <w:jc w:val="center"/>
            </w:pPr>
            <w:r>
              <w:t>Latest year (2021)</w:t>
            </w:r>
          </w:p>
        </w:tc>
        <w:tc>
          <w:tcPr>
            <w:tcW w:w="1132" w:type="dxa"/>
            <w:vAlign w:val="bottom"/>
          </w:tcPr>
          <w:p w14:paraId="26C078D4" w14:textId="77777777" w:rsidR="00693B34" w:rsidRDefault="00B86CE1" w:rsidP="00C14862">
            <w:pPr>
              <w:pStyle w:val="ESBodyText0"/>
              <w:spacing w:line="240" w:lineRule="auto"/>
              <w:jc w:val="center"/>
            </w:pPr>
            <w:r>
              <w:t>4-year average</w:t>
            </w:r>
          </w:p>
        </w:tc>
      </w:tr>
      <w:tr w:rsidR="00903DBB" w14:paraId="1C7ED9C6" w14:textId="77777777" w:rsidTr="00C14862">
        <w:trPr>
          <w:trHeight w:hRule="exact" w:val="567"/>
        </w:trPr>
        <w:tc>
          <w:tcPr>
            <w:tcW w:w="2835" w:type="dxa"/>
            <w:tcMar>
              <w:top w:w="57" w:type="dxa"/>
            </w:tcMar>
            <w:vAlign w:val="center"/>
          </w:tcPr>
          <w:p w14:paraId="23C1ACF2" w14:textId="77777777" w:rsidR="00B90DA3" w:rsidRDefault="00B86CE1"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58147EC7" w14:textId="77777777" w:rsidR="00B90DA3" w:rsidRDefault="00B86CE1" w:rsidP="00B90DA3">
            <w:pPr>
              <w:pStyle w:val="ESBodyText0"/>
              <w:spacing w:line="240" w:lineRule="auto"/>
              <w:jc w:val="center"/>
            </w:pPr>
            <w:r>
              <w:t>67.6%</w:t>
            </w:r>
          </w:p>
        </w:tc>
        <w:tc>
          <w:tcPr>
            <w:tcW w:w="1132" w:type="dxa"/>
            <w:tcBorders>
              <w:bottom w:val="single" w:sz="4" w:space="0" w:color="FFFFFF" w:themeColor="background1"/>
            </w:tcBorders>
            <w:shd w:val="clear" w:color="auto" w:fill="FFC000"/>
            <w:tcMar>
              <w:top w:w="57" w:type="dxa"/>
            </w:tcMar>
            <w:vAlign w:val="center"/>
          </w:tcPr>
          <w:p w14:paraId="25508158" w14:textId="77777777" w:rsidR="00B90DA3" w:rsidRDefault="00B86CE1" w:rsidP="00B90DA3">
            <w:pPr>
              <w:pStyle w:val="ESBodyText0"/>
              <w:spacing w:line="240" w:lineRule="auto"/>
              <w:jc w:val="center"/>
            </w:pPr>
            <w:r>
              <w:t>60.4%</w:t>
            </w:r>
          </w:p>
        </w:tc>
      </w:tr>
      <w:tr w:rsidR="00903DBB" w14:paraId="1AD9A47E" w14:textId="77777777" w:rsidTr="00C14862">
        <w:trPr>
          <w:trHeight w:hRule="exact" w:val="567"/>
        </w:trPr>
        <w:tc>
          <w:tcPr>
            <w:tcW w:w="2835" w:type="dxa"/>
            <w:tcMar>
              <w:top w:w="57" w:type="dxa"/>
            </w:tcMar>
            <w:vAlign w:val="center"/>
          </w:tcPr>
          <w:p w14:paraId="49753B60" w14:textId="77777777" w:rsidR="00B90DA3" w:rsidRDefault="00B86CE1"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1739F6D" w14:textId="77777777" w:rsidR="00B90DA3" w:rsidRPr="00B20B33" w:rsidRDefault="00B86CE1" w:rsidP="00B90DA3">
            <w:pPr>
              <w:pStyle w:val="ESBodyText0"/>
              <w:spacing w:line="240" w:lineRule="auto"/>
              <w:jc w:val="center"/>
              <w:rPr>
                <w:color w:val="FFFFFF" w:themeColor="background1"/>
              </w:rPr>
            </w:pPr>
            <w:r>
              <w:rPr>
                <w:color w:val="FFFFFF" w:themeColor="background1"/>
              </w:rPr>
              <w:t>66.5%</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3BB7F25D" w14:textId="77777777" w:rsidR="00B90DA3" w:rsidRPr="00B20B33" w:rsidRDefault="00B86CE1" w:rsidP="00B90DA3">
            <w:pPr>
              <w:pStyle w:val="ESBodyText0"/>
              <w:spacing w:line="240" w:lineRule="auto"/>
              <w:jc w:val="center"/>
              <w:rPr>
                <w:color w:val="FFFFFF" w:themeColor="background1"/>
              </w:rPr>
            </w:pPr>
            <w:r>
              <w:rPr>
                <w:color w:val="FFFFFF" w:themeColor="background1"/>
              </w:rPr>
              <w:t>68.0%</w:t>
            </w:r>
          </w:p>
        </w:tc>
      </w:tr>
      <w:tr w:rsidR="00903DBB" w14:paraId="2C6B63CA" w14:textId="77777777" w:rsidTr="00C14862">
        <w:trPr>
          <w:trHeight w:hRule="exact" w:val="567"/>
        </w:trPr>
        <w:tc>
          <w:tcPr>
            <w:tcW w:w="2835" w:type="dxa"/>
            <w:tcMar>
              <w:top w:w="57" w:type="dxa"/>
            </w:tcMar>
            <w:vAlign w:val="center"/>
          </w:tcPr>
          <w:p w14:paraId="2A882CEC" w14:textId="77777777" w:rsidR="00B90DA3" w:rsidRDefault="00B86CE1"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5302796" w14:textId="77777777" w:rsidR="00B90DA3" w:rsidRDefault="00B86CE1" w:rsidP="00B90DA3">
            <w:pPr>
              <w:pStyle w:val="ESBodyText0"/>
              <w:spacing w:line="240" w:lineRule="auto"/>
              <w:jc w:val="center"/>
            </w:pPr>
            <w:r>
              <w:t>67.6%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636B74C4" w14:textId="77777777" w:rsidR="00B90DA3" w:rsidRDefault="00B86CE1" w:rsidP="00B90DA3">
            <w:pPr>
              <w:pStyle w:val="ESBodyText0"/>
              <w:spacing w:line="240" w:lineRule="auto"/>
              <w:jc w:val="center"/>
            </w:pPr>
            <w:r>
              <w:t>69.1%</w:t>
            </w:r>
          </w:p>
        </w:tc>
      </w:tr>
    </w:tbl>
    <w:p w14:paraId="2EDFF508" w14:textId="77777777" w:rsidR="00693B34" w:rsidRDefault="00B86CE1" w:rsidP="00693B34">
      <w:pPr>
        <w:pStyle w:val="ESHeading30"/>
        <w:spacing w:before="0"/>
      </w:pPr>
    </w:p>
    <w:p w14:paraId="60C7F3AB" w14:textId="77777777" w:rsidR="00693B34" w:rsidRDefault="00B86CE1" w:rsidP="00693B34">
      <w:pPr>
        <w:pStyle w:val="ESHeading30"/>
        <w:spacing w:before="0"/>
      </w:pPr>
      <w:r>
        <w:rPr>
          <w:noProof/>
        </w:rPr>
        <w:drawing>
          <wp:anchor distT="0" distB="0" distL="114300" distR="114300" simplePos="0" relativeHeight="251662336" behindDoc="0" locked="0" layoutInCell="1" allowOverlap="1" wp14:anchorId="23514A6E" wp14:editId="00A133E8">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3DBB" w14:paraId="3ABE6947" w14:textId="77777777" w:rsidTr="00C14862">
        <w:tc>
          <w:tcPr>
            <w:tcW w:w="2835" w:type="dxa"/>
            <w:vAlign w:val="bottom"/>
          </w:tcPr>
          <w:p w14:paraId="71DBD710" w14:textId="77777777" w:rsidR="00693B34" w:rsidRDefault="00B86CE1"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19D668E4" w14:textId="77777777" w:rsidR="00693B34" w:rsidRPr="00B20B33" w:rsidRDefault="00B86CE1"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182B1D8" w14:textId="77777777" w:rsidR="00693B34" w:rsidRDefault="00B86CE1" w:rsidP="00C14862">
            <w:pPr>
              <w:pStyle w:val="ESBodyText0"/>
              <w:spacing w:line="240" w:lineRule="auto"/>
              <w:jc w:val="center"/>
            </w:pPr>
            <w:r>
              <w:t xml:space="preserve">Latest year </w:t>
            </w:r>
            <w:r>
              <w:t>(2021)</w:t>
            </w:r>
          </w:p>
        </w:tc>
        <w:tc>
          <w:tcPr>
            <w:tcW w:w="1132" w:type="dxa"/>
            <w:vAlign w:val="bottom"/>
          </w:tcPr>
          <w:p w14:paraId="1DED7C18" w14:textId="77777777" w:rsidR="00693B34" w:rsidRDefault="00B86CE1" w:rsidP="00C14862">
            <w:pPr>
              <w:pStyle w:val="ESBodyText0"/>
              <w:spacing w:line="240" w:lineRule="auto"/>
              <w:jc w:val="center"/>
            </w:pPr>
            <w:r>
              <w:t>4-year average</w:t>
            </w:r>
          </w:p>
        </w:tc>
      </w:tr>
      <w:tr w:rsidR="00903DBB" w14:paraId="61B63DA6" w14:textId="77777777" w:rsidTr="00C14862">
        <w:trPr>
          <w:trHeight w:hRule="exact" w:val="567"/>
        </w:trPr>
        <w:tc>
          <w:tcPr>
            <w:tcW w:w="2835" w:type="dxa"/>
            <w:tcMar>
              <w:top w:w="57" w:type="dxa"/>
            </w:tcMar>
            <w:vAlign w:val="center"/>
          </w:tcPr>
          <w:p w14:paraId="35D9AA5A" w14:textId="77777777" w:rsidR="00B90DA3" w:rsidRDefault="00B86CE1"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7A690533" w14:textId="77777777" w:rsidR="00B90DA3" w:rsidRDefault="00B86CE1" w:rsidP="00B90DA3">
            <w:pPr>
              <w:pStyle w:val="ESBodyText0"/>
              <w:spacing w:line="240" w:lineRule="auto"/>
              <w:jc w:val="center"/>
            </w:pPr>
            <w:r>
              <w:t>34.2%</w:t>
            </w:r>
          </w:p>
        </w:tc>
        <w:tc>
          <w:tcPr>
            <w:tcW w:w="1132" w:type="dxa"/>
            <w:tcBorders>
              <w:bottom w:val="single" w:sz="4" w:space="0" w:color="FFFFFF" w:themeColor="background1"/>
            </w:tcBorders>
            <w:shd w:val="clear" w:color="auto" w:fill="FFC000"/>
            <w:tcMar>
              <w:top w:w="57" w:type="dxa"/>
            </w:tcMar>
            <w:vAlign w:val="center"/>
          </w:tcPr>
          <w:p w14:paraId="29F972CF" w14:textId="77777777" w:rsidR="00B90DA3" w:rsidRDefault="00B86CE1" w:rsidP="00B90DA3">
            <w:pPr>
              <w:pStyle w:val="ESBodyText0"/>
              <w:spacing w:line="240" w:lineRule="auto"/>
              <w:jc w:val="center"/>
            </w:pPr>
            <w:r>
              <w:t>43.8%</w:t>
            </w:r>
          </w:p>
        </w:tc>
      </w:tr>
      <w:tr w:rsidR="00903DBB" w14:paraId="644915C6" w14:textId="77777777" w:rsidTr="00C14862">
        <w:trPr>
          <w:trHeight w:hRule="exact" w:val="567"/>
        </w:trPr>
        <w:tc>
          <w:tcPr>
            <w:tcW w:w="2835" w:type="dxa"/>
            <w:tcMar>
              <w:top w:w="57" w:type="dxa"/>
            </w:tcMar>
            <w:vAlign w:val="center"/>
          </w:tcPr>
          <w:p w14:paraId="2767E9F7" w14:textId="77777777" w:rsidR="00B90DA3" w:rsidRDefault="00B86CE1"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8876858" w14:textId="77777777" w:rsidR="00B90DA3" w:rsidRPr="00B20B33" w:rsidRDefault="00B86CE1" w:rsidP="00B90DA3">
            <w:pPr>
              <w:pStyle w:val="ESBodyText0"/>
              <w:spacing w:line="240" w:lineRule="auto"/>
              <w:jc w:val="center"/>
              <w:rPr>
                <w:color w:val="FFFFFF" w:themeColor="background1"/>
              </w:rPr>
            </w:pPr>
            <w:r>
              <w:rPr>
                <w:color w:val="FFFFFF" w:themeColor="background1"/>
              </w:rPr>
              <w:t>52.5%</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DBAD9F9" w14:textId="77777777" w:rsidR="00B90DA3" w:rsidRPr="00B20B33" w:rsidRDefault="00B86CE1" w:rsidP="00B90DA3">
            <w:pPr>
              <w:pStyle w:val="ESBodyText0"/>
              <w:spacing w:line="240" w:lineRule="auto"/>
              <w:jc w:val="center"/>
              <w:rPr>
                <w:color w:val="FFFFFF" w:themeColor="background1"/>
              </w:rPr>
            </w:pPr>
            <w:r>
              <w:rPr>
                <w:color w:val="FFFFFF" w:themeColor="background1"/>
              </w:rPr>
              <w:t>55.4%</w:t>
            </w:r>
          </w:p>
        </w:tc>
      </w:tr>
      <w:tr w:rsidR="00903DBB" w14:paraId="52A0B271" w14:textId="77777777" w:rsidTr="00C14862">
        <w:trPr>
          <w:trHeight w:hRule="exact" w:val="567"/>
        </w:trPr>
        <w:tc>
          <w:tcPr>
            <w:tcW w:w="2835" w:type="dxa"/>
            <w:tcMar>
              <w:top w:w="57" w:type="dxa"/>
            </w:tcMar>
            <w:vAlign w:val="center"/>
          </w:tcPr>
          <w:p w14:paraId="62D5317B" w14:textId="77777777" w:rsidR="00B90DA3" w:rsidRDefault="00B86CE1"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7D832BF" w14:textId="77777777" w:rsidR="00B90DA3" w:rsidRDefault="00B86CE1" w:rsidP="00B90DA3">
            <w:pPr>
              <w:pStyle w:val="ESBodyText0"/>
              <w:spacing w:line="240" w:lineRule="auto"/>
              <w:jc w:val="center"/>
            </w:pPr>
            <w:r>
              <w:t>61.6%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C1F94EA" w14:textId="77777777" w:rsidR="00B90DA3" w:rsidRDefault="00B86CE1" w:rsidP="00B90DA3">
            <w:pPr>
              <w:pStyle w:val="ESBodyText0"/>
              <w:spacing w:line="240" w:lineRule="auto"/>
              <w:jc w:val="center"/>
            </w:pPr>
            <w:r>
              <w:t>60.0%</w:t>
            </w:r>
          </w:p>
        </w:tc>
      </w:tr>
    </w:tbl>
    <w:p w14:paraId="79EA864B" w14:textId="77777777" w:rsidR="00693B34" w:rsidRDefault="00B86CE1" w:rsidP="00693B34">
      <w:pPr>
        <w:pStyle w:val="ESHeading30"/>
        <w:spacing w:before="0"/>
      </w:pPr>
    </w:p>
    <w:p w14:paraId="352EE501" w14:textId="77777777" w:rsidR="00693B34" w:rsidRDefault="00B86CE1" w:rsidP="00693B34">
      <w:pPr>
        <w:spacing w:after="0" w:line="240" w:lineRule="auto"/>
        <w:rPr>
          <w:b/>
          <w:color w:val="000000" w:themeColor="text1"/>
        </w:rPr>
      </w:pPr>
      <w:r>
        <w:br w:type="page"/>
      </w:r>
    </w:p>
    <w:p w14:paraId="631437A5" w14:textId="77777777" w:rsidR="00693B34" w:rsidRDefault="00B86CE1" w:rsidP="00693B34">
      <w:pPr>
        <w:pStyle w:val="Style10"/>
      </w:pPr>
      <w:r>
        <w:lastRenderedPageBreak/>
        <w:t>ACHIEVEMENT (continued)</w:t>
      </w:r>
    </w:p>
    <w:p w14:paraId="19A79E71" w14:textId="77777777" w:rsidR="00693B34" w:rsidRDefault="00B86CE1" w:rsidP="00693B34">
      <w:pPr>
        <w:pStyle w:val="ESHeading30"/>
        <w:spacing w:line="240" w:lineRule="auto"/>
      </w:pPr>
      <w:r>
        <w:t>NAPLAN Learning Gain</w:t>
      </w:r>
    </w:p>
    <w:p w14:paraId="4E76254C" w14:textId="77777777" w:rsidR="00693B34" w:rsidRDefault="00B86CE1" w:rsidP="00693B34">
      <w:pPr>
        <w:pStyle w:val="ESBodyText0"/>
        <w:rPr>
          <w:rFonts w:eastAsia="Arial"/>
          <w:color w:val="000000"/>
        </w:rPr>
      </w:pPr>
      <w:r>
        <w:rPr>
          <w:rFonts w:eastAsia="Arial"/>
          <w:color w:val="000000"/>
        </w:rPr>
        <w:t xml:space="preserve">NAPLAN learning gain is determined by comparing a student's current year result </w:t>
      </w:r>
      <w:r>
        <w:rPr>
          <w:rFonts w:eastAsia="Arial"/>
          <w:color w:val="000000"/>
        </w:rPr>
        <w:t xml:space="preserve">relative </w:t>
      </w:r>
      <w:r>
        <w:rPr>
          <w:rFonts w:eastAsia="Arial"/>
          <w:color w:val="000000"/>
        </w:rPr>
        <w:t>to the results of all ‘similar’ Victorian students (i.e.</w:t>
      </w:r>
      <w:r>
        <w:rPr>
          <w:rFonts w:eastAsia="Arial"/>
          <w:color w:val="000000"/>
        </w:rPr>
        <w:t>,</w:t>
      </w:r>
      <w:r>
        <w:rPr>
          <w:rFonts w:eastAsia="Arial"/>
          <w:color w:val="000000"/>
        </w:rPr>
        <w:t xml:space="preserve"> students in all sectors in the same year level who had the same score two years prior). If the current year r</w:t>
      </w:r>
      <w:r>
        <w:rPr>
          <w:rFonts w:eastAsia="Arial"/>
          <w:color w:val="000000"/>
        </w:rPr>
        <w:t>esult is in the top 25 percent, their gain level is categorised as ‘High’; middle 50 percent is ‘Medium’; bottom 25 percent is ‘Low’.</w:t>
      </w:r>
    </w:p>
    <w:p w14:paraId="2581C30E" w14:textId="77777777" w:rsidR="00944B57" w:rsidRDefault="00B86CE1" w:rsidP="00693B34">
      <w:pPr>
        <w:pStyle w:val="ESBodyText0"/>
        <w:spacing w:after="0" w:line="240" w:lineRule="auto"/>
        <w:rPr>
          <w:rFonts w:eastAsia="Arial"/>
          <w:color w:val="000000"/>
        </w:rPr>
      </w:pPr>
    </w:p>
    <w:p w14:paraId="7E24BFE2" w14:textId="77777777" w:rsidR="00693B34" w:rsidRPr="00944B57" w:rsidRDefault="00B86CE1" w:rsidP="00693B34">
      <w:pPr>
        <w:pStyle w:val="ESBodyText0"/>
        <w:spacing w:after="0" w:line="240" w:lineRule="auto"/>
        <w:rPr>
          <w:rFonts w:eastAsia="Arial"/>
          <w:b/>
          <w:bCs/>
          <w:color w:val="000000"/>
        </w:rPr>
      </w:pPr>
      <w:r>
        <w:rPr>
          <w:rFonts w:eastAsia="Arial"/>
          <w:color w:val="000000"/>
        </w:rPr>
        <w:t xml:space="preserve">  </w:t>
      </w:r>
      <w:r w:rsidRPr="00944B57">
        <w:rPr>
          <w:rFonts w:eastAsia="Arial"/>
          <w:b/>
          <w:bCs/>
          <w:color w:val="000000"/>
        </w:rPr>
        <w:t>Learning Gain</w:t>
      </w:r>
    </w:p>
    <w:p w14:paraId="62E22C19" w14:textId="77777777" w:rsidR="00944B57" w:rsidRDefault="00B86CE1" w:rsidP="00693B34">
      <w:pPr>
        <w:pStyle w:val="ESBodyText0"/>
        <w:spacing w:after="0" w:line="240" w:lineRule="auto"/>
        <w:rPr>
          <w:rFonts w:eastAsia="Arial"/>
          <w:color w:val="000000"/>
        </w:rPr>
      </w:pPr>
      <w:r w:rsidRPr="00944B57">
        <w:rPr>
          <w:rFonts w:eastAsia="Arial"/>
          <w:b/>
          <w:bCs/>
          <w:color w:val="000000"/>
        </w:rPr>
        <w:t xml:space="preserve">  Year 3 (2019) to Year 5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572"/>
        <w:gridCol w:w="855"/>
        <w:gridCol w:w="567"/>
        <w:gridCol w:w="851"/>
      </w:tblGrid>
      <w:tr w:rsidR="00903DBB" w14:paraId="2E905D27" w14:textId="77777777" w:rsidTr="00944B57">
        <w:tc>
          <w:tcPr>
            <w:tcW w:w="1413" w:type="dxa"/>
            <w:vAlign w:val="bottom"/>
          </w:tcPr>
          <w:p w14:paraId="19C2A39C" w14:textId="77777777" w:rsidR="00944B57" w:rsidRPr="00944B57" w:rsidRDefault="00B86CE1" w:rsidP="00736CB1">
            <w:pPr>
              <w:pStyle w:val="ESBodyText0"/>
              <w:spacing w:line="240" w:lineRule="auto"/>
              <w:rPr>
                <w:sz w:val="2"/>
                <w:szCs w:val="2"/>
              </w:rPr>
            </w:pPr>
          </w:p>
        </w:tc>
        <w:tc>
          <w:tcPr>
            <w:tcW w:w="572" w:type="dxa"/>
            <w:vAlign w:val="bottom"/>
          </w:tcPr>
          <w:p w14:paraId="5B0B5A0F" w14:textId="77777777" w:rsidR="00944B57" w:rsidRPr="00944B57" w:rsidRDefault="00B86CE1" w:rsidP="00736CB1">
            <w:pPr>
              <w:pStyle w:val="ESBodyText0"/>
              <w:spacing w:line="240" w:lineRule="auto"/>
              <w:rPr>
                <w:sz w:val="2"/>
                <w:szCs w:val="2"/>
              </w:rPr>
            </w:pPr>
          </w:p>
        </w:tc>
        <w:tc>
          <w:tcPr>
            <w:tcW w:w="855" w:type="dxa"/>
            <w:vAlign w:val="bottom"/>
          </w:tcPr>
          <w:p w14:paraId="5D8AC8BD" w14:textId="77777777" w:rsidR="00944B57" w:rsidRPr="00944B57" w:rsidRDefault="00B86CE1" w:rsidP="00736CB1">
            <w:pPr>
              <w:pStyle w:val="ESBodyText0"/>
              <w:spacing w:line="240" w:lineRule="auto"/>
              <w:rPr>
                <w:sz w:val="2"/>
                <w:szCs w:val="2"/>
              </w:rPr>
            </w:pPr>
          </w:p>
        </w:tc>
        <w:tc>
          <w:tcPr>
            <w:tcW w:w="567" w:type="dxa"/>
            <w:vAlign w:val="bottom"/>
          </w:tcPr>
          <w:p w14:paraId="3043EBF4" w14:textId="77777777" w:rsidR="00944B57" w:rsidRPr="00944B57" w:rsidRDefault="00B86CE1" w:rsidP="00C14862">
            <w:pPr>
              <w:pStyle w:val="ESBodyText0"/>
              <w:spacing w:line="240" w:lineRule="auto"/>
              <w:jc w:val="center"/>
              <w:rPr>
                <w:sz w:val="2"/>
                <w:szCs w:val="2"/>
              </w:rPr>
            </w:pPr>
          </w:p>
        </w:tc>
        <w:tc>
          <w:tcPr>
            <w:tcW w:w="851" w:type="dxa"/>
          </w:tcPr>
          <w:p w14:paraId="38BFBBB2" w14:textId="77777777" w:rsidR="00944B57" w:rsidRPr="00944B57" w:rsidRDefault="00B86CE1" w:rsidP="00C14862">
            <w:pPr>
              <w:pStyle w:val="ESBodyText0"/>
              <w:spacing w:line="240" w:lineRule="auto"/>
              <w:jc w:val="center"/>
              <w:rPr>
                <w:sz w:val="2"/>
                <w:szCs w:val="2"/>
              </w:rPr>
            </w:pPr>
          </w:p>
        </w:tc>
      </w:tr>
      <w:tr w:rsidR="00903DBB" w14:paraId="2E145FA5" w14:textId="77777777" w:rsidTr="00E1349D">
        <w:tc>
          <w:tcPr>
            <w:tcW w:w="1418" w:type="dxa"/>
            <w:vAlign w:val="bottom"/>
          </w:tcPr>
          <w:p w14:paraId="73527190" w14:textId="77777777" w:rsidR="007311F4" w:rsidRPr="00B20B33" w:rsidRDefault="00B86CE1" w:rsidP="00C14862">
            <w:pPr>
              <w:pStyle w:val="ESBodyText0"/>
              <w:spacing w:line="240" w:lineRule="auto"/>
              <w:rPr>
                <w:b/>
                <w:bCs/>
              </w:rPr>
            </w:pPr>
          </w:p>
        </w:tc>
        <w:tc>
          <w:tcPr>
            <w:tcW w:w="567" w:type="dxa"/>
            <w:tcMar>
              <w:left w:w="0" w:type="dxa"/>
              <w:right w:w="0" w:type="dxa"/>
            </w:tcMar>
            <w:vAlign w:val="bottom"/>
          </w:tcPr>
          <w:p w14:paraId="3CDB9DB2" w14:textId="77777777" w:rsidR="007311F4" w:rsidRDefault="00B86CE1" w:rsidP="00C14862">
            <w:pPr>
              <w:pStyle w:val="ESBodyText0"/>
              <w:spacing w:line="240" w:lineRule="auto"/>
              <w:jc w:val="center"/>
            </w:pPr>
            <w:r>
              <w:t>Low Gain</w:t>
            </w:r>
          </w:p>
        </w:tc>
        <w:tc>
          <w:tcPr>
            <w:tcW w:w="855" w:type="dxa"/>
            <w:tcMar>
              <w:left w:w="0" w:type="dxa"/>
              <w:right w:w="0" w:type="dxa"/>
            </w:tcMar>
            <w:vAlign w:val="bottom"/>
          </w:tcPr>
          <w:p w14:paraId="503D7D38" w14:textId="77777777" w:rsidR="007311F4" w:rsidRDefault="00B86CE1" w:rsidP="00C14862">
            <w:pPr>
              <w:pStyle w:val="ESBodyText0"/>
              <w:spacing w:line="240" w:lineRule="auto"/>
              <w:jc w:val="center"/>
            </w:pPr>
            <w:r>
              <w:t>Medium Gain</w:t>
            </w:r>
          </w:p>
        </w:tc>
        <w:tc>
          <w:tcPr>
            <w:tcW w:w="567" w:type="dxa"/>
            <w:tcMar>
              <w:left w:w="0" w:type="dxa"/>
              <w:right w:w="0" w:type="dxa"/>
            </w:tcMar>
            <w:vAlign w:val="bottom"/>
          </w:tcPr>
          <w:p w14:paraId="61F9B917" w14:textId="77777777" w:rsidR="007311F4" w:rsidRDefault="00B86CE1" w:rsidP="00C14862">
            <w:pPr>
              <w:pStyle w:val="ESBodyText0"/>
              <w:spacing w:line="240" w:lineRule="auto"/>
              <w:jc w:val="center"/>
            </w:pPr>
            <w:r>
              <w:t>High Gain</w:t>
            </w:r>
          </w:p>
        </w:tc>
        <w:tc>
          <w:tcPr>
            <w:tcW w:w="851" w:type="dxa"/>
            <w:tcMar>
              <w:left w:w="0" w:type="dxa"/>
              <w:right w:w="0" w:type="dxa"/>
            </w:tcMar>
          </w:tcPr>
          <w:p w14:paraId="443E88D6" w14:textId="77777777" w:rsidR="007311F4" w:rsidRDefault="00B86CE1" w:rsidP="00C14862">
            <w:pPr>
              <w:pStyle w:val="ESBodyText0"/>
              <w:spacing w:line="240" w:lineRule="auto"/>
              <w:jc w:val="center"/>
            </w:pPr>
            <w:r>
              <w:rPr>
                <w:noProof/>
              </w:rPr>
              <w:drawing>
                <wp:anchor distT="0" distB="0" distL="114300" distR="114300" simplePos="0" relativeHeight="251661312" behindDoc="0" locked="0" layoutInCell="1" allowOverlap="1" wp14:anchorId="43510BDF" wp14:editId="17413385">
                  <wp:simplePos x="0" y="0"/>
                  <wp:positionH relativeFrom="margin">
                    <wp:posOffset>539750</wp:posOffset>
                  </wp:positionH>
                  <wp:positionV relativeFrom="paragraph">
                    <wp:posOffset>43180</wp:posOffset>
                  </wp:positionV>
                  <wp:extent cx="4185920" cy="2778760"/>
                  <wp:effectExtent l="0" t="0" r="5080" b="254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7311F4">
              <w:rPr>
                <w:color w:val="000000" w:themeColor="text1"/>
              </w:rPr>
              <w:t>Hi</w:t>
            </w:r>
            <w:r>
              <w:rPr>
                <w:color w:val="000000" w:themeColor="text1"/>
              </w:rPr>
              <w:t xml:space="preserve">gh Gain (Similar </w:t>
            </w:r>
            <w:r>
              <w:rPr>
                <w:color w:val="000000" w:themeColor="text1"/>
              </w:rPr>
              <w:t>Schools)</w:t>
            </w:r>
          </w:p>
        </w:tc>
      </w:tr>
      <w:tr w:rsidR="00903DBB" w14:paraId="402E1AAA" w14:textId="77777777" w:rsidTr="00E1349D">
        <w:trPr>
          <w:trHeight w:hRule="exact" w:val="567"/>
        </w:trPr>
        <w:tc>
          <w:tcPr>
            <w:tcW w:w="1418" w:type="dxa"/>
            <w:tcMar>
              <w:top w:w="57" w:type="dxa"/>
              <w:right w:w="113" w:type="dxa"/>
            </w:tcMar>
            <w:vAlign w:val="center"/>
          </w:tcPr>
          <w:p w14:paraId="5EA617FA" w14:textId="77777777" w:rsidR="007311F4" w:rsidRDefault="00B86CE1" w:rsidP="007311F4">
            <w:pPr>
              <w:pStyle w:val="ESBodyText0"/>
              <w:spacing w:line="240" w:lineRule="auto"/>
              <w:jc w:val="right"/>
            </w:pPr>
            <w:r>
              <w:t>Reading:</w:t>
            </w:r>
          </w:p>
        </w:tc>
        <w:tc>
          <w:tcPr>
            <w:tcW w:w="567" w:type="dxa"/>
            <w:tcBorders>
              <w:bottom w:val="single" w:sz="4" w:space="0" w:color="FFFFFF" w:themeColor="background1"/>
            </w:tcBorders>
            <w:shd w:val="clear" w:color="auto" w:fill="FFC000"/>
            <w:tcMar>
              <w:top w:w="57" w:type="dxa"/>
              <w:left w:w="0" w:type="dxa"/>
              <w:right w:w="0" w:type="dxa"/>
            </w:tcMar>
            <w:vAlign w:val="center"/>
          </w:tcPr>
          <w:p w14:paraId="24F2C643" w14:textId="77777777" w:rsidR="007311F4" w:rsidRDefault="00B86CE1" w:rsidP="007311F4">
            <w:pPr>
              <w:pStyle w:val="ESBodyText0"/>
              <w:spacing w:line="240" w:lineRule="auto"/>
              <w:jc w:val="center"/>
            </w:pPr>
            <w:r>
              <w:t>45%</w:t>
            </w:r>
          </w:p>
        </w:tc>
        <w:tc>
          <w:tcPr>
            <w:tcW w:w="855" w:type="dxa"/>
            <w:tcBorders>
              <w:bottom w:val="single" w:sz="4" w:space="0" w:color="FFFFFF" w:themeColor="background1"/>
            </w:tcBorders>
            <w:shd w:val="clear" w:color="auto" w:fill="FFC000"/>
            <w:tcMar>
              <w:top w:w="57" w:type="dxa"/>
              <w:left w:w="0" w:type="dxa"/>
              <w:right w:w="0" w:type="dxa"/>
            </w:tcMar>
            <w:vAlign w:val="center"/>
          </w:tcPr>
          <w:p w14:paraId="10ACB629" w14:textId="77777777" w:rsidR="007311F4" w:rsidRDefault="00B86CE1" w:rsidP="007311F4">
            <w:pPr>
              <w:pStyle w:val="ESBodyText0"/>
              <w:spacing w:line="240" w:lineRule="auto"/>
              <w:jc w:val="center"/>
            </w:pPr>
            <w:r>
              <w:t>39%</w:t>
            </w:r>
          </w:p>
        </w:tc>
        <w:tc>
          <w:tcPr>
            <w:tcW w:w="567" w:type="dxa"/>
            <w:tcBorders>
              <w:bottom w:val="single" w:sz="4" w:space="0" w:color="FFFFFF" w:themeColor="background1"/>
              <w:right w:val="single" w:sz="4" w:space="0" w:color="FFFFFF" w:themeColor="background1"/>
            </w:tcBorders>
            <w:shd w:val="clear" w:color="auto" w:fill="FFC000"/>
            <w:tcMar>
              <w:left w:w="0" w:type="dxa"/>
              <w:right w:w="0" w:type="dxa"/>
            </w:tcMar>
            <w:vAlign w:val="center"/>
          </w:tcPr>
          <w:p w14:paraId="4CD4F0C0" w14:textId="77777777" w:rsidR="007311F4" w:rsidRDefault="00B86CE1" w:rsidP="007311F4">
            <w:pPr>
              <w:pStyle w:val="ESBodyText0"/>
              <w:spacing w:line="240" w:lineRule="auto"/>
              <w:jc w:val="center"/>
            </w:pPr>
            <w:r>
              <w:t>16%</w:t>
            </w:r>
          </w:p>
        </w:tc>
        <w:tc>
          <w:tcPr>
            <w:tcW w:w="851" w:type="dxa"/>
            <w:tcBorders>
              <w:left w:val="single" w:sz="4" w:space="0" w:color="FFFFFF" w:themeColor="background1"/>
              <w:bottom w:val="single" w:sz="4" w:space="0" w:color="FFFFFF" w:themeColor="background1"/>
            </w:tcBorders>
            <w:shd w:val="clear" w:color="auto" w:fill="7030A0"/>
            <w:vAlign w:val="center"/>
          </w:tcPr>
          <w:p w14:paraId="2024D5E3" w14:textId="77777777" w:rsidR="007311F4" w:rsidRPr="007311F4" w:rsidRDefault="00B86CE1" w:rsidP="007311F4">
            <w:pPr>
              <w:pStyle w:val="ESBodyText0"/>
              <w:spacing w:line="240" w:lineRule="auto"/>
              <w:jc w:val="center"/>
              <w:rPr>
                <w:color w:val="FFFFFF" w:themeColor="background1"/>
              </w:rPr>
            </w:pPr>
            <w:r>
              <w:rPr>
                <w:color w:val="FFFFFF" w:themeColor="background1"/>
              </w:rPr>
              <w:t>21%</w:t>
            </w:r>
          </w:p>
        </w:tc>
      </w:tr>
      <w:tr w:rsidR="00903DBB" w14:paraId="62EFF539" w14:textId="77777777" w:rsidTr="00E1349D">
        <w:trPr>
          <w:trHeight w:hRule="exact" w:val="567"/>
        </w:trPr>
        <w:tc>
          <w:tcPr>
            <w:tcW w:w="1418" w:type="dxa"/>
            <w:tcMar>
              <w:top w:w="57" w:type="dxa"/>
              <w:right w:w="113" w:type="dxa"/>
            </w:tcMar>
            <w:vAlign w:val="center"/>
          </w:tcPr>
          <w:p w14:paraId="43C1C440" w14:textId="77777777" w:rsidR="007311F4" w:rsidRDefault="00B86CE1" w:rsidP="007311F4">
            <w:pPr>
              <w:pStyle w:val="ESBodyText0"/>
              <w:spacing w:line="240" w:lineRule="auto"/>
              <w:jc w:val="right"/>
            </w:pPr>
            <w:r>
              <w:t>Numeracy:</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B929294" w14:textId="77777777" w:rsidR="007311F4" w:rsidRPr="005F0174" w:rsidRDefault="00B86CE1" w:rsidP="007311F4">
            <w:pPr>
              <w:pStyle w:val="ESBodyText0"/>
              <w:spacing w:line="240" w:lineRule="auto"/>
              <w:jc w:val="center"/>
            </w:pPr>
            <w:r>
              <w:t>41%</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410E34F9" w14:textId="77777777" w:rsidR="007311F4" w:rsidRPr="005F0174" w:rsidRDefault="00B86CE1" w:rsidP="007311F4">
            <w:pPr>
              <w:pStyle w:val="ESBodyText0"/>
              <w:spacing w:line="240" w:lineRule="auto"/>
              <w:jc w:val="center"/>
            </w:pPr>
            <w:r>
              <w:t>57%</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5912FC03" w14:textId="77777777" w:rsidR="007311F4" w:rsidRPr="005F0174" w:rsidRDefault="00B86CE1" w:rsidP="007311F4">
            <w:pPr>
              <w:pStyle w:val="ESBodyText0"/>
              <w:spacing w:line="240" w:lineRule="auto"/>
              <w:jc w:val="center"/>
            </w:pPr>
            <w:r>
              <w:t>3%</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485AEAD6" w14:textId="77777777" w:rsidR="007311F4" w:rsidRPr="007311F4" w:rsidRDefault="00B86CE1" w:rsidP="007311F4">
            <w:pPr>
              <w:pStyle w:val="ESBodyText0"/>
              <w:spacing w:line="240" w:lineRule="auto"/>
              <w:jc w:val="center"/>
              <w:rPr>
                <w:color w:val="FFFFFF" w:themeColor="background1"/>
              </w:rPr>
            </w:pPr>
            <w:r>
              <w:rPr>
                <w:color w:val="FFFFFF" w:themeColor="background1"/>
              </w:rPr>
              <w:t>19%</w:t>
            </w:r>
          </w:p>
        </w:tc>
      </w:tr>
      <w:tr w:rsidR="00903DBB" w14:paraId="7AF7DB8C" w14:textId="77777777" w:rsidTr="00E1349D">
        <w:trPr>
          <w:trHeight w:hRule="exact" w:val="567"/>
        </w:trPr>
        <w:tc>
          <w:tcPr>
            <w:tcW w:w="1418" w:type="dxa"/>
            <w:tcMar>
              <w:top w:w="57" w:type="dxa"/>
              <w:right w:w="113" w:type="dxa"/>
            </w:tcMar>
            <w:vAlign w:val="center"/>
          </w:tcPr>
          <w:p w14:paraId="2A9F719C" w14:textId="77777777" w:rsidR="007311F4" w:rsidRDefault="00B86CE1" w:rsidP="007311F4">
            <w:pPr>
              <w:pStyle w:val="ESBodyText0"/>
              <w:spacing w:line="240" w:lineRule="auto"/>
              <w:jc w:val="right"/>
            </w:pPr>
            <w:r>
              <w:t>Writing: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41D648B6" w14:textId="77777777" w:rsidR="007311F4" w:rsidRPr="005F0174" w:rsidRDefault="00B86CE1" w:rsidP="007311F4">
            <w:pPr>
              <w:pStyle w:val="ESBodyText0"/>
              <w:spacing w:line="240" w:lineRule="auto"/>
              <w:jc w:val="center"/>
            </w:pPr>
            <w:r>
              <w:t>32%</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54B03C31" w14:textId="77777777" w:rsidR="007311F4" w:rsidRPr="005F0174" w:rsidRDefault="00B86CE1" w:rsidP="007311F4">
            <w:pPr>
              <w:pStyle w:val="ESBodyText0"/>
              <w:spacing w:line="240" w:lineRule="auto"/>
              <w:jc w:val="center"/>
            </w:pPr>
            <w:r>
              <w:t>50%</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080207FC" w14:textId="77777777" w:rsidR="007311F4" w:rsidRPr="005F0174" w:rsidRDefault="00B86CE1" w:rsidP="007311F4">
            <w:pPr>
              <w:pStyle w:val="ESBodyText0"/>
              <w:spacing w:line="240" w:lineRule="auto"/>
              <w:jc w:val="center"/>
            </w:pPr>
            <w:r>
              <w:t>18%</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50F8FC67" w14:textId="77777777" w:rsidR="007311F4" w:rsidRPr="007311F4" w:rsidRDefault="00B86CE1" w:rsidP="007311F4">
            <w:pPr>
              <w:pStyle w:val="ESBodyText0"/>
              <w:spacing w:line="240" w:lineRule="auto"/>
              <w:jc w:val="center"/>
              <w:rPr>
                <w:color w:val="FFFFFF" w:themeColor="background1"/>
              </w:rPr>
            </w:pPr>
            <w:r>
              <w:rPr>
                <w:color w:val="FFFFFF" w:themeColor="background1"/>
              </w:rPr>
              <w:t>17%</w:t>
            </w:r>
          </w:p>
        </w:tc>
      </w:tr>
      <w:tr w:rsidR="00903DBB" w14:paraId="3B340B2F" w14:textId="77777777" w:rsidTr="00E1349D">
        <w:trPr>
          <w:trHeight w:hRule="exact" w:val="567"/>
        </w:trPr>
        <w:tc>
          <w:tcPr>
            <w:tcW w:w="1418" w:type="dxa"/>
            <w:tcMar>
              <w:top w:w="57" w:type="dxa"/>
              <w:right w:w="113" w:type="dxa"/>
            </w:tcMar>
            <w:vAlign w:val="center"/>
          </w:tcPr>
          <w:p w14:paraId="11AE8BCA" w14:textId="77777777" w:rsidR="007311F4" w:rsidRDefault="00B86CE1" w:rsidP="007311F4">
            <w:pPr>
              <w:pStyle w:val="ESBodyText0"/>
              <w:spacing w:line="240" w:lineRule="auto"/>
              <w:jc w:val="right"/>
            </w:pPr>
            <w:r>
              <w:t>Spelling: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03576A8" w14:textId="77777777" w:rsidR="007311F4" w:rsidRPr="005F0174" w:rsidRDefault="00B86CE1" w:rsidP="007311F4">
            <w:pPr>
              <w:pStyle w:val="ESBodyText0"/>
              <w:spacing w:line="240" w:lineRule="auto"/>
              <w:jc w:val="center"/>
            </w:pPr>
            <w:r>
              <w:t>32%</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4E1606AA" w14:textId="77777777" w:rsidR="007311F4" w:rsidRPr="005F0174" w:rsidRDefault="00B86CE1" w:rsidP="007311F4">
            <w:pPr>
              <w:pStyle w:val="ESBodyText0"/>
              <w:spacing w:line="240" w:lineRule="auto"/>
              <w:jc w:val="center"/>
            </w:pPr>
            <w:r>
              <w:t>55%</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3E0A7682" w14:textId="77777777" w:rsidR="007311F4" w:rsidRPr="005F0174" w:rsidRDefault="00B86CE1" w:rsidP="007311F4">
            <w:pPr>
              <w:pStyle w:val="ESBodyText0"/>
              <w:spacing w:line="240" w:lineRule="auto"/>
              <w:jc w:val="center"/>
            </w:pPr>
            <w:r>
              <w:t>13%</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32712F65" w14:textId="77777777" w:rsidR="007311F4" w:rsidRPr="007311F4" w:rsidRDefault="00B86CE1" w:rsidP="007311F4">
            <w:pPr>
              <w:pStyle w:val="ESBodyText0"/>
              <w:spacing w:line="240" w:lineRule="auto"/>
              <w:jc w:val="center"/>
              <w:rPr>
                <w:color w:val="FFFFFF" w:themeColor="background1"/>
              </w:rPr>
            </w:pPr>
            <w:r>
              <w:rPr>
                <w:color w:val="FFFFFF" w:themeColor="background1"/>
              </w:rPr>
              <w:t>19%</w:t>
            </w:r>
          </w:p>
        </w:tc>
      </w:tr>
      <w:tr w:rsidR="00903DBB" w14:paraId="4F7B8391" w14:textId="77777777" w:rsidTr="00E1349D">
        <w:trPr>
          <w:trHeight w:hRule="exact" w:val="567"/>
        </w:trPr>
        <w:tc>
          <w:tcPr>
            <w:tcW w:w="1418" w:type="dxa"/>
            <w:tcMar>
              <w:top w:w="57" w:type="dxa"/>
              <w:right w:w="113" w:type="dxa"/>
            </w:tcMar>
            <w:vAlign w:val="center"/>
          </w:tcPr>
          <w:p w14:paraId="569DED94" w14:textId="77777777" w:rsidR="007311F4" w:rsidRDefault="00B86CE1" w:rsidP="007311F4">
            <w:pPr>
              <w:pStyle w:val="ESBodyText0"/>
              <w:spacing w:line="240" w:lineRule="auto"/>
              <w:jc w:val="right"/>
            </w:pPr>
            <w:r>
              <w:t>Grammar and Punctuation:</w:t>
            </w:r>
          </w:p>
        </w:tc>
        <w:tc>
          <w:tcPr>
            <w:tcW w:w="567" w:type="dxa"/>
            <w:tcBorders>
              <w:top w:val="single" w:sz="4" w:space="0" w:color="FFFFFF" w:themeColor="background1"/>
            </w:tcBorders>
            <w:shd w:val="clear" w:color="auto" w:fill="FFC000"/>
            <w:tcMar>
              <w:top w:w="57" w:type="dxa"/>
              <w:left w:w="0" w:type="dxa"/>
              <w:right w:w="0" w:type="dxa"/>
            </w:tcMar>
            <w:vAlign w:val="center"/>
          </w:tcPr>
          <w:p w14:paraId="03B02900" w14:textId="77777777" w:rsidR="007311F4" w:rsidRDefault="00B86CE1" w:rsidP="007311F4">
            <w:pPr>
              <w:pStyle w:val="ESBodyText0"/>
              <w:spacing w:line="240" w:lineRule="auto"/>
              <w:jc w:val="center"/>
            </w:pPr>
            <w:r>
              <w:t>45%</w:t>
            </w:r>
          </w:p>
        </w:tc>
        <w:tc>
          <w:tcPr>
            <w:tcW w:w="855" w:type="dxa"/>
            <w:tcBorders>
              <w:top w:val="single" w:sz="4" w:space="0" w:color="FFFFFF" w:themeColor="background1"/>
            </w:tcBorders>
            <w:shd w:val="clear" w:color="auto" w:fill="FFC000"/>
            <w:tcMar>
              <w:top w:w="57" w:type="dxa"/>
              <w:left w:w="0" w:type="dxa"/>
              <w:right w:w="0" w:type="dxa"/>
            </w:tcMar>
            <w:vAlign w:val="center"/>
          </w:tcPr>
          <w:p w14:paraId="18219D80" w14:textId="77777777" w:rsidR="007311F4" w:rsidRDefault="00B86CE1" w:rsidP="007311F4">
            <w:pPr>
              <w:pStyle w:val="ESBodyText0"/>
              <w:spacing w:line="240" w:lineRule="auto"/>
              <w:jc w:val="center"/>
            </w:pPr>
            <w:r>
              <w:t>42%</w:t>
            </w:r>
          </w:p>
        </w:tc>
        <w:tc>
          <w:tcPr>
            <w:tcW w:w="567" w:type="dxa"/>
            <w:tcBorders>
              <w:top w:val="single" w:sz="4" w:space="0" w:color="FFFFFF" w:themeColor="background1"/>
              <w:right w:val="single" w:sz="4" w:space="0" w:color="FFFFFF" w:themeColor="background1"/>
            </w:tcBorders>
            <w:shd w:val="clear" w:color="auto" w:fill="FFC000"/>
            <w:tcMar>
              <w:left w:w="0" w:type="dxa"/>
              <w:right w:w="0" w:type="dxa"/>
            </w:tcMar>
            <w:vAlign w:val="center"/>
          </w:tcPr>
          <w:p w14:paraId="5CA3E953" w14:textId="77777777" w:rsidR="007311F4" w:rsidRDefault="00B86CE1" w:rsidP="007311F4">
            <w:pPr>
              <w:pStyle w:val="ESBodyText0"/>
              <w:spacing w:line="240" w:lineRule="auto"/>
              <w:jc w:val="center"/>
            </w:pPr>
            <w:r>
              <w:t>13%</w:t>
            </w:r>
          </w:p>
        </w:tc>
        <w:tc>
          <w:tcPr>
            <w:tcW w:w="851" w:type="dxa"/>
            <w:tcBorders>
              <w:top w:val="single" w:sz="4" w:space="0" w:color="FFFFFF" w:themeColor="background1"/>
              <w:left w:val="single" w:sz="4" w:space="0" w:color="FFFFFF" w:themeColor="background1"/>
            </w:tcBorders>
            <w:shd w:val="clear" w:color="auto" w:fill="7030A0"/>
            <w:vAlign w:val="center"/>
          </w:tcPr>
          <w:p w14:paraId="173B0D57" w14:textId="77777777" w:rsidR="007311F4" w:rsidRPr="007311F4" w:rsidRDefault="00B86CE1" w:rsidP="007311F4">
            <w:pPr>
              <w:pStyle w:val="ESBodyText0"/>
              <w:spacing w:line="240" w:lineRule="auto"/>
              <w:jc w:val="center"/>
              <w:rPr>
                <w:color w:val="FFFFFF" w:themeColor="background1"/>
              </w:rPr>
            </w:pPr>
            <w:r>
              <w:rPr>
                <w:color w:val="FFFFFF" w:themeColor="background1"/>
              </w:rPr>
              <w:t>19%</w:t>
            </w:r>
          </w:p>
        </w:tc>
      </w:tr>
    </w:tbl>
    <w:p w14:paraId="50733E05" w14:textId="77777777" w:rsidR="00693B34" w:rsidRDefault="00B86CE1" w:rsidP="00693B34">
      <w:pPr>
        <w:spacing w:after="0" w:line="240" w:lineRule="auto"/>
      </w:pPr>
    </w:p>
    <w:p w14:paraId="701F38AE" w14:textId="77777777" w:rsidR="00693B34" w:rsidRDefault="00B86CE1" w:rsidP="00693B34">
      <w:pPr>
        <w:spacing w:after="0" w:line="240" w:lineRule="auto"/>
      </w:pPr>
    </w:p>
    <w:p w14:paraId="78CE5681" w14:textId="77777777" w:rsidR="00693B34" w:rsidRDefault="00B86CE1" w:rsidP="00693B34">
      <w:pPr>
        <w:spacing w:after="0" w:line="240" w:lineRule="auto"/>
      </w:pPr>
    </w:p>
    <w:p w14:paraId="1ED99744" w14:textId="77777777" w:rsidR="005B6BD9" w:rsidRDefault="00B86CE1" w:rsidP="00693B34">
      <w:pPr>
        <w:pStyle w:val="ESBodyText0"/>
        <w:spacing w:after="240"/>
      </w:pPr>
    </w:p>
    <w:p w14:paraId="1C8CBDAF" w14:textId="77777777" w:rsidR="005B6BD9" w:rsidRDefault="00B86CE1">
      <w:pPr>
        <w:spacing w:after="0" w:line="240" w:lineRule="auto"/>
      </w:pPr>
      <w:r>
        <w:br w:type="page"/>
      </w:r>
    </w:p>
    <w:p w14:paraId="5E559BF8" w14:textId="77777777" w:rsidR="009E6D61" w:rsidRDefault="00B86CE1" w:rsidP="00B637FF">
      <w:pPr>
        <w:pStyle w:val="Style10"/>
      </w:pPr>
      <w:r>
        <w:lastRenderedPageBreak/>
        <w:t>ENGAGEMENT</w:t>
      </w:r>
    </w:p>
    <w:p w14:paraId="154D582E" w14:textId="77777777" w:rsidR="00666BAD" w:rsidRDefault="00B86CE1"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533CA371" w14:textId="77777777" w:rsidR="009E6D61" w:rsidRDefault="00B86CE1" w:rsidP="00F14C40">
      <w:pPr>
        <w:pStyle w:val="ESHeading30"/>
      </w:pPr>
      <w:r>
        <w:t>Average Number of Student Ab</w:t>
      </w:r>
      <w:r>
        <w:t>sence Days</w:t>
      </w:r>
    </w:p>
    <w:p w14:paraId="585711DF" w14:textId="77777777" w:rsidR="001016C0" w:rsidRDefault="00B86CE1">
      <w:pPr>
        <w:pStyle w:val="ESBodyText0"/>
      </w:pPr>
      <w:r>
        <w:t>Absence from school can impact on students’ learning.</w:t>
      </w:r>
      <w:r>
        <w:t xml:space="preserve"> </w:t>
      </w:r>
      <w:r>
        <w:t>Common reasons for non-attendance include illness and extended family holidays.</w:t>
      </w:r>
      <w:r w:rsidRPr="000D7D46">
        <w:t xml:space="preserve"> </w:t>
      </w:r>
      <w:r w:rsidRPr="003F1321">
        <w:t xml:space="preserve">Absence and attendance data </w:t>
      </w:r>
      <w:r>
        <w:t xml:space="preserve">in 2020 </w:t>
      </w:r>
      <w:r>
        <w:t xml:space="preserve">and 2021 </w:t>
      </w:r>
      <w:r w:rsidRPr="003F1321">
        <w:t>may have been influenced by</w:t>
      </w:r>
      <w:r>
        <w:t xml:space="preserve"> COVID-19</w:t>
      </w:r>
      <w:r w:rsidRPr="003F1321">
        <w:t>.</w:t>
      </w:r>
    </w:p>
    <w:p w14:paraId="1F558077" w14:textId="77777777" w:rsidR="002E45F9" w:rsidRDefault="00B86CE1">
      <w:pPr>
        <w:pStyle w:val="ESBodyText0"/>
      </w:pPr>
      <w:r>
        <w:rPr>
          <w:noProof/>
        </w:rPr>
        <w:drawing>
          <wp:anchor distT="0" distB="0" distL="114300" distR="114300" simplePos="0" relativeHeight="251670528" behindDoc="0" locked="0" layoutInCell="1" allowOverlap="1" wp14:anchorId="3B623B86" wp14:editId="42926516">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903DBB" w14:paraId="01236A96" w14:textId="77777777" w:rsidTr="00301A6C">
        <w:tc>
          <w:tcPr>
            <w:tcW w:w="2835" w:type="dxa"/>
            <w:vAlign w:val="bottom"/>
          </w:tcPr>
          <w:p w14:paraId="2E2E10A6" w14:textId="77777777" w:rsidR="002E45F9" w:rsidRDefault="00B86CE1"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38418BB8" w14:textId="77777777" w:rsidR="002E45F9" w:rsidRPr="00B20B33" w:rsidRDefault="00B86CE1" w:rsidP="002E45F9">
            <w:pPr>
              <w:pStyle w:val="ESBodyText0"/>
              <w:spacing w:line="240" w:lineRule="auto"/>
              <w:rPr>
                <w:b/>
                <w:bCs/>
              </w:rPr>
            </w:pPr>
            <w:r>
              <w:rPr>
                <w:rFonts w:eastAsia="Times New Roman"/>
                <w:b/>
                <w:bCs/>
                <w:color w:val="000000"/>
                <w:lang w:val="en-AU" w:eastAsia="en-AU"/>
              </w:rPr>
              <w:t xml:space="preserve">Years </w:t>
            </w:r>
            <w:r>
              <w:rPr>
                <w:rFonts w:eastAsia="Times New Roman"/>
                <w:b/>
                <w:bCs/>
                <w:color w:val="000000"/>
                <w:lang w:val="en-AU" w:eastAsia="en-AU"/>
              </w:rPr>
              <w:t>Prep to 6</w:t>
            </w:r>
          </w:p>
        </w:tc>
        <w:tc>
          <w:tcPr>
            <w:tcW w:w="1131" w:type="dxa"/>
            <w:vAlign w:val="bottom"/>
          </w:tcPr>
          <w:p w14:paraId="4599DC66" w14:textId="77777777" w:rsidR="002E45F9" w:rsidRDefault="00B86CE1" w:rsidP="00BA1967">
            <w:pPr>
              <w:pStyle w:val="ESBodyText0"/>
              <w:spacing w:line="240" w:lineRule="auto"/>
              <w:jc w:val="center"/>
            </w:pPr>
            <w:r>
              <w:t>Latest year (202</w:t>
            </w:r>
            <w:r>
              <w:t>1</w:t>
            </w:r>
            <w:r>
              <w:t>)</w:t>
            </w:r>
          </w:p>
        </w:tc>
        <w:tc>
          <w:tcPr>
            <w:tcW w:w="1132" w:type="dxa"/>
            <w:vAlign w:val="bottom"/>
          </w:tcPr>
          <w:p w14:paraId="3AA904A1" w14:textId="77777777" w:rsidR="002E45F9" w:rsidRDefault="00B86CE1" w:rsidP="00BA1967">
            <w:pPr>
              <w:pStyle w:val="ESBodyText0"/>
              <w:spacing w:line="240" w:lineRule="auto"/>
              <w:jc w:val="center"/>
            </w:pPr>
            <w:r>
              <w:t>4-year average</w:t>
            </w:r>
          </w:p>
        </w:tc>
      </w:tr>
      <w:tr w:rsidR="00903DBB" w14:paraId="5A72E90A" w14:textId="77777777" w:rsidTr="00301A6C">
        <w:trPr>
          <w:trHeight w:hRule="exact" w:val="567"/>
        </w:trPr>
        <w:tc>
          <w:tcPr>
            <w:tcW w:w="2835" w:type="dxa"/>
            <w:tcMar>
              <w:top w:w="57" w:type="dxa"/>
            </w:tcMar>
            <w:vAlign w:val="center"/>
          </w:tcPr>
          <w:p w14:paraId="46BCA4A7" w14:textId="77777777" w:rsidR="002E45F9" w:rsidRDefault="00B86CE1"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4E05824B" w14:textId="77777777" w:rsidR="002E45F9" w:rsidRDefault="00B86CE1" w:rsidP="00BA1967">
            <w:pPr>
              <w:pStyle w:val="ESBodyText0"/>
              <w:spacing w:line="240" w:lineRule="auto"/>
              <w:jc w:val="center"/>
            </w:pPr>
            <w:r>
              <w:t>22.7</w:t>
            </w:r>
          </w:p>
        </w:tc>
        <w:tc>
          <w:tcPr>
            <w:tcW w:w="1132" w:type="dxa"/>
            <w:tcBorders>
              <w:bottom w:val="single" w:sz="4" w:space="0" w:color="FFFFFF" w:themeColor="background1"/>
            </w:tcBorders>
            <w:shd w:val="clear" w:color="auto" w:fill="FFC000"/>
            <w:tcMar>
              <w:top w:w="57" w:type="dxa"/>
            </w:tcMar>
            <w:vAlign w:val="center"/>
          </w:tcPr>
          <w:p w14:paraId="44646491" w14:textId="77777777" w:rsidR="002E45F9" w:rsidRDefault="00B86CE1" w:rsidP="00BA1967">
            <w:pPr>
              <w:pStyle w:val="ESBodyText0"/>
              <w:spacing w:line="240" w:lineRule="auto"/>
              <w:jc w:val="center"/>
            </w:pPr>
            <w:r>
              <w:t>17.4</w:t>
            </w:r>
          </w:p>
        </w:tc>
      </w:tr>
      <w:tr w:rsidR="00903DBB" w14:paraId="1497220D" w14:textId="77777777" w:rsidTr="00301A6C">
        <w:trPr>
          <w:trHeight w:hRule="exact" w:val="567"/>
        </w:trPr>
        <w:tc>
          <w:tcPr>
            <w:tcW w:w="2835" w:type="dxa"/>
            <w:tcMar>
              <w:top w:w="57" w:type="dxa"/>
            </w:tcMar>
            <w:vAlign w:val="center"/>
          </w:tcPr>
          <w:p w14:paraId="056300B9" w14:textId="77777777" w:rsidR="002E45F9" w:rsidRDefault="00B86CE1"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21F75C0" w14:textId="77777777" w:rsidR="002E45F9" w:rsidRPr="00B20B33" w:rsidRDefault="00B86CE1" w:rsidP="00BA1967">
            <w:pPr>
              <w:pStyle w:val="ESBodyText0"/>
              <w:spacing w:line="240" w:lineRule="auto"/>
              <w:jc w:val="center"/>
              <w:rPr>
                <w:color w:val="FFFFFF" w:themeColor="background1"/>
              </w:rPr>
            </w:pPr>
            <w:r>
              <w:rPr>
                <w:color w:val="FFFFFF" w:themeColor="background1"/>
              </w:rPr>
              <w:t>15.9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BF51799" w14:textId="77777777" w:rsidR="002E45F9" w:rsidRPr="00B20B33" w:rsidRDefault="00B86CE1" w:rsidP="00BA1967">
            <w:pPr>
              <w:pStyle w:val="ESBodyText0"/>
              <w:spacing w:line="240" w:lineRule="auto"/>
              <w:jc w:val="center"/>
              <w:rPr>
                <w:color w:val="FFFFFF" w:themeColor="background1"/>
              </w:rPr>
            </w:pPr>
            <w:r>
              <w:rPr>
                <w:color w:val="FFFFFF" w:themeColor="background1"/>
              </w:rPr>
              <w:t>14.7</w:t>
            </w:r>
          </w:p>
        </w:tc>
      </w:tr>
      <w:tr w:rsidR="00903DBB" w14:paraId="40ECA806" w14:textId="77777777" w:rsidTr="00301A6C">
        <w:trPr>
          <w:trHeight w:hRule="exact" w:val="567"/>
        </w:trPr>
        <w:tc>
          <w:tcPr>
            <w:tcW w:w="2835" w:type="dxa"/>
            <w:tcMar>
              <w:top w:w="57" w:type="dxa"/>
            </w:tcMar>
            <w:vAlign w:val="center"/>
          </w:tcPr>
          <w:p w14:paraId="0501FB8F" w14:textId="77777777" w:rsidR="002E45F9" w:rsidRDefault="00B86CE1"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81C3E38" w14:textId="77777777" w:rsidR="002E45F9" w:rsidRDefault="00B86CE1" w:rsidP="00BA1967">
            <w:pPr>
              <w:pStyle w:val="ESBodyText0"/>
              <w:spacing w:line="240" w:lineRule="auto"/>
              <w:jc w:val="center"/>
            </w:pPr>
            <w:r>
              <w:t>14.7</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E8BB6B2" w14:textId="77777777" w:rsidR="002E45F9" w:rsidRDefault="00B86CE1" w:rsidP="00BA1967">
            <w:pPr>
              <w:pStyle w:val="ESBodyText0"/>
              <w:spacing w:line="240" w:lineRule="auto"/>
              <w:jc w:val="center"/>
            </w:pPr>
            <w:r>
              <w:t>15.0</w:t>
            </w:r>
          </w:p>
        </w:tc>
      </w:tr>
    </w:tbl>
    <w:p w14:paraId="51F6D475" w14:textId="77777777" w:rsidR="002E45F9" w:rsidRDefault="00B86CE1">
      <w:pPr>
        <w:pStyle w:val="ESBodyText0"/>
      </w:pPr>
    </w:p>
    <w:p w14:paraId="05416406" w14:textId="77777777" w:rsidR="002E45F9" w:rsidRDefault="00B86CE1">
      <w:pPr>
        <w:pStyle w:val="ESBodyText0"/>
      </w:pPr>
    </w:p>
    <w:p w14:paraId="38A6F3A7" w14:textId="77777777" w:rsidR="002E45F9" w:rsidRDefault="00B86CE1">
      <w:pPr>
        <w:pStyle w:val="ESBodyText0"/>
      </w:pPr>
    </w:p>
    <w:p w14:paraId="77DE0D5B" w14:textId="77777777" w:rsidR="006F4FB2" w:rsidRDefault="00B86CE1">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903DBB" w14:paraId="4B8CBA28" w14:textId="77777777" w:rsidTr="00E163B8">
        <w:tc>
          <w:tcPr>
            <w:tcW w:w="2835" w:type="dxa"/>
          </w:tcPr>
          <w:p w14:paraId="1CB34509" w14:textId="77777777" w:rsidR="006F4FB2" w:rsidRPr="006F4FB2" w:rsidRDefault="00B86CE1">
            <w:pPr>
              <w:pStyle w:val="ESBodyText0"/>
              <w:rPr>
                <w:b/>
                <w:bCs/>
              </w:rPr>
            </w:pPr>
            <w:r w:rsidRPr="006F4FB2">
              <w:rPr>
                <w:b/>
                <w:bCs/>
              </w:rPr>
              <w:t>Attendance Rate</w:t>
            </w:r>
            <w:r>
              <w:rPr>
                <w:b/>
                <w:bCs/>
              </w:rPr>
              <w:t xml:space="preserve"> (latest year)</w:t>
            </w:r>
          </w:p>
        </w:tc>
        <w:tc>
          <w:tcPr>
            <w:tcW w:w="1093" w:type="dxa"/>
          </w:tcPr>
          <w:p w14:paraId="246C302E" w14:textId="77777777" w:rsidR="006F4FB2" w:rsidRDefault="00B86CE1">
            <w:pPr>
              <w:pStyle w:val="ESBodyText0"/>
            </w:pPr>
          </w:p>
        </w:tc>
        <w:tc>
          <w:tcPr>
            <w:tcW w:w="1094" w:type="dxa"/>
          </w:tcPr>
          <w:p w14:paraId="65811A3E" w14:textId="77777777" w:rsidR="006F4FB2" w:rsidRDefault="00B86CE1">
            <w:pPr>
              <w:pStyle w:val="ESBodyText0"/>
            </w:pPr>
          </w:p>
        </w:tc>
        <w:tc>
          <w:tcPr>
            <w:tcW w:w="1093" w:type="dxa"/>
          </w:tcPr>
          <w:p w14:paraId="24D8ABF2" w14:textId="77777777" w:rsidR="006F4FB2" w:rsidRDefault="00B86CE1">
            <w:pPr>
              <w:pStyle w:val="ESBodyText0"/>
            </w:pPr>
          </w:p>
        </w:tc>
        <w:tc>
          <w:tcPr>
            <w:tcW w:w="1094" w:type="dxa"/>
          </w:tcPr>
          <w:p w14:paraId="27491A37" w14:textId="77777777" w:rsidR="006F4FB2" w:rsidRDefault="00B86CE1">
            <w:pPr>
              <w:pStyle w:val="ESBodyText0"/>
            </w:pPr>
          </w:p>
        </w:tc>
        <w:tc>
          <w:tcPr>
            <w:tcW w:w="1093" w:type="dxa"/>
          </w:tcPr>
          <w:p w14:paraId="3A7F6568" w14:textId="77777777" w:rsidR="006F4FB2" w:rsidRDefault="00B86CE1">
            <w:pPr>
              <w:pStyle w:val="ESBodyText0"/>
            </w:pPr>
          </w:p>
        </w:tc>
        <w:tc>
          <w:tcPr>
            <w:tcW w:w="1094" w:type="dxa"/>
          </w:tcPr>
          <w:p w14:paraId="44620DD0" w14:textId="77777777" w:rsidR="006F4FB2" w:rsidRDefault="00B86CE1">
            <w:pPr>
              <w:pStyle w:val="ESBodyText0"/>
            </w:pPr>
          </w:p>
        </w:tc>
        <w:tc>
          <w:tcPr>
            <w:tcW w:w="1094" w:type="dxa"/>
          </w:tcPr>
          <w:p w14:paraId="00B8C5E6" w14:textId="77777777" w:rsidR="006F4FB2" w:rsidRDefault="00B86CE1">
            <w:pPr>
              <w:pStyle w:val="ESBodyText0"/>
            </w:pPr>
          </w:p>
        </w:tc>
      </w:tr>
      <w:tr w:rsidR="00903DBB" w14:paraId="5E1B564A" w14:textId="77777777" w:rsidTr="00E163B8">
        <w:tc>
          <w:tcPr>
            <w:tcW w:w="2835" w:type="dxa"/>
            <w:vAlign w:val="bottom"/>
          </w:tcPr>
          <w:p w14:paraId="70CE73CF" w14:textId="77777777" w:rsidR="006F4FB2" w:rsidRDefault="00B86CE1">
            <w:pPr>
              <w:pStyle w:val="ESBodyText0"/>
            </w:pPr>
          </w:p>
        </w:tc>
        <w:tc>
          <w:tcPr>
            <w:tcW w:w="1093" w:type="dxa"/>
            <w:vAlign w:val="bottom"/>
          </w:tcPr>
          <w:p w14:paraId="3B3DCB5A" w14:textId="77777777" w:rsidR="006F4FB2" w:rsidRDefault="00B86CE1" w:rsidP="006F4FB2">
            <w:pPr>
              <w:pStyle w:val="ESBodyText0"/>
              <w:jc w:val="center"/>
            </w:pPr>
            <w:r>
              <w:t>Prep</w:t>
            </w:r>
          </w:p>
        </w:tc>
        <w:tc>
          <w:tcPr>
            <w:tcW w:w="1094" w:type="dxa"/>
            <w:vAlign w:val="bottom"/>
          </w:tcPr>
          <w:p w14:paraId="4CAF1EFA" w14:textId="77777777" w:rsidR="006F4FB2" w:rsidRDefault="00B86CE1" w:rsidP="006F4FB2">
            <w:pPr>
              <w:pStyle w:val="ESBodyText0"/>
              <w:jc w:val="center"/>
            </w:pPr>
            <w:r>
              <w:t>Year 1</w:t>
            </w:r>
          </w:p>
        </w:tc>
        <w:tc>
          <w:tcPr>
            <w:tcW w:w="1093" w:type="dxa"/>
            <w:vAlign w:val="bottom"/>
          </w:tcPr>
          <w:p w14:paraId="75442A25" w14:textId="77777777" w:rsidR="006F4FB2" w:rsidRDefault="00B86CE1" w:rsidP="006F4FB2">
            <w:pPr>
              <w:pStyle w:val="ESBodyText0"/>
              <w:jc w:val="center"/>
            </w:pPr>
            <w:r>
              <w:t>Year 2</w:t>
            </w:r>
          </w:p>
        </w:tc>
        <w:tc>
          <w:tcPr>
            <w:tcW w:w="1094" w:type="dxa"/>
            <w:vAlign w:val="bottom"/>
          </w:tcPr>
          <w:p w14:paraId="5311B8AA" w14:textId="77777777" w:rsidR="006F4FB2" w:rsidRDefault="00B86CE1" w:rsidP="006F4FB2">
            <w:pPr>
              <w:pStyle w:val="ESBodyText0"/>
              <w:jc w:val="center"/>
            </w:pPr>
            <w:r>
              <w:t>Year 3</w:t>
            </w:r>
          </w:p>
        </w:tc>
        <w:tc>
          <w:tcPr>
            <w:tcW w:w="1093" w:type="dxa"/>
            <w:vAlign w:val="bottom"/>
          </w:tcPr>
          <w:p w14:paraId="69E628E6" w14:textId="77777777" w:rsidR="006F4FB2" w:rsidRDefault="00B86CE1" w:rsidP="006F4FB2">
            <w:pPr>
              <w:pStyle w:val="ESBodyText0"/>
              <w:jc w:val="center"/>
            </w:pPr>
            <w:r>
              <w:t>Year 4</w:t>
            </w:r>
          </w:p>
        </w:tc>
        <w:tc>
          <w:tcPr>
            <w:tcW w:w="1094" w:type="dxa"/>
            <w:vAlign w:val="bottom"/>
          </w:tcPr>
          <w:p w14:paraId="3DBBE2E9" w14:textId="77777777" w:rsidR="006F4FB2" w:rsidRDefault="00B86CE1" w:rsidP="006F4FB2">
            <w:pPr>
              <w:pStyle w:val="ESBodyText0"/>
              <w:jc w:val="center"/>
            </w:pPr>
            <w:r>
              <w:t>Year 5</w:t>
            </w:r>
          </w:p>
        </w:tc>
        <w:tc>
          <w:tcPr>
            <w:tcW w:w="1094" w:type="dxa"/>
            <w:vAlign w:val="bottom"/>
          </w:tcPr>
          <w:p w14:paraId="6BFCD8F0" w14:textId="77777777" w:rsidR="006F4FB2" w:rsidRDefault="00B86CE1" w:rsidP="006F4FB2">
            <w:pPr>
              <w:pStyle w:val="ESBodyText0"/>
              <w:jc w:val="center"/>
            </w:pPr>
            <w:r>
              <w:t>Year 6</w:t>
            </w:r>
          </w:p>
        </w:tc>
      </w:tr>
      <w:tr w:rsidR="00903DBB" w14:paraId="73DF5905" w14:textId="77777777" w:rsidTr="00E163B8">
        <w:tc>
          <w:tcPr>
            <w:tcW w:w="2835" w:type="dxa"/>
          </w:tcPr>
          <w:p w14:paraId="59CA2C53" w14:textId="77777777" w:rsidR="006F4FB2" w:rsidRDefault="00B86CE1">
            <w:pPr>
              <w:pStyle w:val="ESBodyText0"/>
            </w:pPr>
            <w:r>
              <w:t>Attendance Rate by year level (202</w:t>
            </w:r>
            <w:r>
              <w:t>1</w:t>
            </w:r>
            <w:r>
              <w:t>):</w:t>
            </w:r>
          </w:p>
        </w:tc>
        <w:tc>
          <w:tcPr>
            <w:tcW w:w="1093" w:type="dxa"/>
            <w:shd w:val="clear" w:color="auto" w:fill="FFC000"/>
            <w:tcMar>
              <w:top w:w="57" w:type="dxa"/>
            </w:tcMar>
            <w:vAlign w:val="center"/>
          </w:tcPr>
          <w:p w14:paraId="3C134505" w14:textId="77777777" w:rsidR="006F4FB2" w:rsidRDefault="00B86CE1" w:rsidP="006F4FB2">
            <w:pPr>
              <w:pStyle w:val="ESBodyText0"/>
              <w:jc w:val="center"/>
            </w:pPr>
            <w:r>
              <w:t>88%</w:t>
            </w:r>
          </w:p>
        </w:tc>
        <w:tc>
          <w:tcPr>
            <w:tcW w:w="1094" w:type="dxa"/>
            <w:shd w:val="clear" w:color="auto" w:fill="FFC000"/>
            <w:tcMar>
              <w:top w:w="57" w:type="dxa"/>
            </w:tcMar>
            <w:vAlign w:val="center"/>
          </w:tcPr>
          <w:p w14:paraId="4A4B94A0" w14:textId="77777777" w:rsidR="006F4FB2" w:rsidRDefault="00B86CE1" w:rsidP="006F4FB2">
            <w:pPr>
              <w:pStyle w:val="ESBodyText0"/>
              <w:jc w:val="center"/>
            </w:pPr>
            <w:r>
              <w:t>89%</w:t>
            </w:r>
          </w:p>
        </w:tc>
        <w:tc>
          <w:tcPr>
            <w:tcW w:w="1093" w:type="dxa"/>
            <w:shd w:val="clear" w:color="auto" w:fill="FFC000"/>
            <w:tcMar>
              <w:top w:w="57" w:type="dxa"/>
            </w:tcMar>
            <w:vAlign w:val="center"/>
          </w:tcPr>
          <w:p w14:paraId="5091A6B9" w14:textId="77777777" w:rsidR="006F4FB2" w:rsidRDefault="00B86CE1" w:rsidP="006F4FB2">
            <w:pPr>
              <w:pStyle w:val="ESBodyText0"/>
              <w:jc w:val="center"/>
            </w:pPr>
            <w:r>
              <w:t>87%</w:t>
            </w:r>
          </w:p>
        </w:tc>
        <w:tc>
          <w:tcPr>
            <w:tcW w:w="1094" w:type="dxa"/>
            <w:shd w:val="clear" w:color="auto" w:fill="FFC000"/>
            <w:tcMar>
              <w:top w:w="57" w:type="dxa"/>
            </w:tcMar>
            <w:vAlign w:val="center"/>
          </w:tcPr>
          <w:p w14:paraId="7EB5F6EC" w14:textId="77777777" w:rsidR="006F4FB2" w:rsidRDefault="00B86CE1" w:rsidP="006F4FB2">
            <w:pPr>
              <w:pStyle w:val="ESBodyText0"/>
              <w:jc w:val="center"/>
            </w:pPr>
            <w:r>
              <w:t>88%</w:t>
            </w:r>
          </w:p>
        </w:tc>
        <w:tc>
          <w:tcPr>
            <w:tcW w:w="1093" w:type="dxa"/>
            <w:shd w:val="clear" w:color="auto" w:fill="FFC000"/>
            <w:tcMar>
              <w:top w:w="57" w:type="dxa"/>
            </w:tcMar>
            <w:vAlign w:val="center"/>
          </w:tcPr>
          <w:p w14:paraId="25CEB545" w14:textId="77777777" w:rsidR="006F4FB2" w:rsidRDefault="00B86CE1" w:rsidP="006F4FB2">
            <w:pPr>
              <w:pStyle w:val="ESBodyText0"/>
              <w:jc w:val="center"/>
            </w:pPr>
            <w:r>
              <w:t>89%</w:t>
            </w:r>
          </w:p>
        </w:tc>
        <w:tc>
          <w:tcPr>
            <w:tcW w:w="1094" w:type="dxa"/>
            <w:shd w:val="clear" w:color="auto" w:fill="FFC000"/>
            <w:tcMar>
              <w:top w:w="57" w:type="dxa"/>
            </w:tcMar>
            <w:vAlign w:val="center"/>
          </w:tcPr>
          <w:p w14:paraId="060CE386" w14:textId="77777777" w:rsidR="006F4FB2" w:rsidRDefault="00B86CE1" w:rsidP="006F4FB2">
            <w:pPr>
              <w:pStyle w:val="ESBodyText0"/>
              <w:jc w:val="center"/>
            </w:pPr>
            <w:r>
              <w:t>89%</w:t>
            </w:r>
          </w:p>
        </w:tc>
        <w:tc>
          <w:tcPr>
            <w:tcW w:w="1094" w:type="dxa"/>
            <w:shd w:val="clear" w:color="auto" w:fill="FFC000"/>
            <w:tcMar>
              <w:top w:w="57" w:type="dxa"/>
            </w:tcMar>
            <w:vAlign w:val="center"/>
          </w:tcPr>
          <w:p w14:paraId="37813BC9" w14:textId="77777777" w:rsidR="006F4FB2" w:rsidRDefault="00B86CE1" w:rsidP="006F4FB2">
            <w:pPr>
              <w:pStyle w:val="ESBodyText0"/>
              <w:jc w:val="center"/>
            </w:pPr>
            <w:r>
              <w:t>89%</w:t>
            </w:r>
          </w:p>
        </w:tc>
      </w:tr>
    </w:tbl>
    <w:p w14:paraId="5A670E33" w14:textId="77777777" w:rsidR="008A2551" w:rsidRDefault="00B86CE1">
      <w:pPr>
        <w:pStyle w:val="ESBodyText0"/>
      </w:pPr>
    </w:p>
    <w:p w14:paraId="3E989E42" w14:textId="77777777" w:rsidR="008A2551" w:rsidRDefault="00B86CE1">
      <w:pPr>
        <w:pStyle w:val="ESBodyText0"/>
      </w:pPr>
    </w:p>
    <w:p w14:paraId="7FFC1ABF" w14:textId="77777777" w:rsidR="006A4059" w:rsidRDefault="00B86CE1" w:rsidP="006A4059">
      <w:pPr>
        <w:pStyle w:val="ESBodyText0"/>
      </w:pPr>
    </w:p>
    <w:p w14:paraId="059B0A40" w14:textId="77777777" w:rsidR="0056104D" w:rsidRDefault="00B86CE1">
      <w:pPr>
        <w:spacing w:after="0" w:line="240" w:lineRule="auto"/>
        <w:rPr>
          <w:b/>
          <w:color w:val="000000" w:themeColor="text1"/>
        </w:rPr>
      </w:pPr>
      <w:r>
        <w:br w:type="page"/>
      </w:r>
    </w:p>
    <w:p w14:paraId="27E4EC47" w14:textId="77777777" w:rsidR="009E6D61" w:rsidRDefault="00B86CE1" w:rsidP="00D4348E">
      <w:pPr>
        <w:pStyle w:val="Style10"/>
      </w:pPr>
      <w:r>
        <w:lastRenderedPageBreak/>
        <w:t>WELL</w:t>
      </w:r>
      <w:r>
        <w:t>BEING</w:t>
      </w:r>
    </w:p>
    <w:p w14:paraId="14492E05" w14:textId="77777777" w:rsidR="006A3AB8" w:rsidRDefault="00B86CE1"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56774191" w14:textId="77777777" w:rsidR="009E6D61" w:rsidRDefault="00B86CE1" w:rsidP="00F14C40">
      <w:pPr>
        <w:pStyle w:val="ESHeading30"/>
      </w:pPr>
      <w:r>
        <w:t>Student Attitudes to School – Sense of Connectedness</w:t>
      </w:r>
    </w:p>
    <w:p w14:paraId="381B4A04" w14:textId="77777777" w:rsidR="00B52429" w:rsidRDefault="00B86CE1">
      <w:pPr>
        <w:pStyle w:val="ESBodyText0"/>
      </w:pPr>
      <w:r>
        <w:t xml:space="preserve">The percent endorsement on Sense of Connectedness factor, as reported in the Attitudes to School Survey completed annually by Victorian </w:t>
      </w:r>
      <w:r>
        <w:t>g</w:t>
      </w:r>
      <w:r>
        <w:t>overnment school students</w:t>
      </w:r>
      <w:r>
        <w:t>, indicates the p</w:t>
      </w:r>
      <w:r>
        <w:t>ercent of positive responses (agree or strongly agree).</w:t>
      </w:r>
    </w:p>
    <w:p w14:paraId="09F35C57" w14:textId="77777777" w:rsidR="004F0C48" w:rsidRDefault="00B86CE1" w:rsidP="00AE4639">
      <w:pPr>
        <w:pStyle w:val="ESBodyText0"/>
        <w:spacing w:before="120" w:after="240"/>
      </w:pPr>
      <w:r>
        <w:rPr>
          <w:noProof/>
        </w:rPr>
        <w:drawing>
          <wp:anchor distT="0" distB="0" distL="114300" distR="114300" simplePos="0" relativeHeight="251669504" behindDoc="0" locked="0" layoutInCell="1" allowOverlap="1" wp14:anchorId="053CDBEE" wp14:editId="0ACDF243">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903DBB" w14:paraId="5FCB90A4" w14:textId="77777777" w:rsidTr="00301A6C">
        <w:tc>
          <w:tcPr>
            <w:tcW w:w="2835" w:type="dxa"/>
            <w:vAlign w:val="bottom"/>
          </w:tcPr>
          <w:p w14:paraId="582A23C3" w14:textId="77777777" w:rsidR="004F0C48" w:rsidRDefault="00B86CE1"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 xml:space="preserve">ense of </w:t>
            </w:r>
            <w:r>
              <w:rPr>
                <w:rFonts w:eastAsia="Times New Roman"/>
                <w:b/>
                <w:bCs/>
                <w:color w:val="000000"/>
                <w:lang w:val="en-AU" w:eastAsia="en-AU"/>
              </w:rPr>
              <w:t>Connectedness</w:t>
            </w:r>
          </w:p>
          <w:p w14:paraId="63AAC57B" w14:textId="77777777" w:rsidR="004F0C48" w:rsidRPr="00B20B33" w:rsidRDefault="00B86CE1"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2966F120" w14:textId="77777777" w:rsidR="004F0C48" w:rsidRDefault="00B86CE1" w:rsidP="00BA1967">
            <w:pPr>
              <w:pStyle w:val="ESBodyText0"/>
              <w:spacing w:line="240" w:lineRule="auto"/>
              <w:jc w:val="center"/>
            </w:pPr>
            <w:r>
              <w:t>Latest year (202</w:t>
            </w:r>
            <w:r>
              <w:t>1</w:t>
            </w:r>
            <w:r>
              <w:t>)</w:t>
            </w:r>
          </w:p>
        </w:tc>
        <w:tc>
          <w:tcPr>
            <w:tcW w:w="1060" w:type="dxa"/>
            <w:vAlign w:val="bottom"/>
          </w:tcPr>
          <w:p w14:paraId="6D3D329D" w14:textId="77777777" w:rsidR="004F0C48" w:rsidRDefault="00B86CE1" w:rsidP="00BA1967">
            <w:pPr>
              <w:pStyle w:val="ESBodyText0"/>
              <w:spacing w:line="240" w:lineRule="auto"/>
              <w:jc w:val="center"/>
            </w:pPr>
            <w:r>
              <w:t>4-year average</w:t>
            </w:r>
          </w:p>
        </w:tc>
      </w:tr>
      <w:tr w:rsidR="00903DBB" w14:paraId="04C19710" w14:textId="77777777" w:rsidTr="00301A6C">
        <w:trPr>
          <w:trHeight w:hRule="exact" w:val="567"/>
        </w:trPr>
        <w:tc>
          <w:tcPr>
            <w:tcW w:w="2835" w:type="dxa"/>
            <w:tcMar>
              <w:top w:w="57" w:type="dxa"/>
            </w:tcMar>
            <w:vAlign w:val="center"/>
          </w:tcPr>
          <w:p w14:paraId="1F78DB17" w14:textId="77777777" w:rsidR="004F0C48" w:rsidRDefault="00B86CE1"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7A79D054" w14:textId="77777777" w:rsidR="004F0C48" w:rsidRDefault="00B86CE1" w:rsidP="00BA1967">
            <w:pPr>
              <w:pStyle w:val="ESBodyText0"/>
              <w:spacing w:line="240" w:lineRule="auto"/>
              <w:jc w:val="center"/>
            </w:pPr>
            <w:r>
              <w:t>69.8%</w:t>
            </w:r>
          </w:p>
        </w:tc>
        <w:tc>
          <w:tcPr>
            <w:tcW w:w="1060" w:type="dxa"/>
            <w:tcBorders>
              <w:bottom w:val="single" w:sz="4" w:space="0" w:color="FFFFFF" w:themeColor="background1"/>
            </w:tcBorders>
            <w:shd w:val="clear" w:color="auto" w:fill="FFC000"/>
            <w:tcMar>
              <w:top w:w="57" w:type="dxa"/>
            </w:tcMar>
            <w:vAlign w:val="center"/>
          </w:tcPr>
          <w:p w14:paraId="2E3A1197" w14:textId="77777777" w:rsidR="004F0C48" w:rsidRDefault="00B86CE1" w:rsidP="00BA1967">
            <w:pPr>
              <w:pStyle w:val="ESBodyText0"/>
              <w:spacing w:line="240" w:lineRule="auto"/>
              <w:jc w:val="center"/>
            </w:pPr>
            <w:r>
              <w:t>78.3%</w:t>
            </w:r>
          </w:p>
        </w:tc>
      </w:tr>
      <w:tr w:rsidR="00903DBB" w14:paraId="2CAC111B" w14:textId="77777777" w:rsidTr="00301A6C">
        <w:trPr>
          <w:trHeight w:hRule="exact" w:val="567"/>
        </w:trPr>
        <w:tc>
          <w:tcPr>
            <w:tcW w:w="2835" w:type="dxa"/>
            <w:tcMar>
              <w:top w:w="57" w:type="dxa"/>
            </w:tcMar>
            <w:vAlign w:val="center"/>
          </w:tcPr>
          <w:p w14:paraId="11CD060D" w14:textId="77777777" w:rsidR="004F0C48" w:rsidRDefault="00B86CE1"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016DCDE9" w14:textId="77777777" w:rsidR="004F0C48" w:rsidRPr="00B20B33" w:rsidRDefault="00B86CE1" w:rsidP="00BA1967">
            <w:pPr>
              <w:pStyle w:val="ESBodyText0"/>
              <w:spacing w:line="240" w:lineRule="auto"/>
              <w:jc w:val="center"/>
              <w:rPr>
                <w:color w:val="FFFFFF" w:themeColor="background1"/>
              </w:rPr>
            </w:pPr>
            <w:r>
              <w:rPr>
                <w:color w:val="FFFFFF" w:themeColor="background1"/>
              </w:rPr>
              <w:t>76.8%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C81050F" w14:textId="77777777" w:rsidR="004F0C48" w:rsidRPr="00B20B33" w:rsidRDefault="00B86CE1" w:rsidP="00BA1967">
            <w:pPr>
              <w:pStyle w:val="ESBodyText0"/>
              <w:spacing w:line="240" w:lineRule="auto"/>
              <w:jc w:val="center"/>
              <w:rPr>
                <w:color w:val="FFFFFF" w:themeColor="background1"/>
              </w:rPr>
            </w:pPr>
            <w:r>
              <w:rPr>
                <w:color w:val="FFFFFF" w:themeColor="background1"/>
              </w:rPr>
              <w:t>78.4%</w:t>
            </w:r>
          </w:p>
        </w:tc>
      </w:tr>
      <w:tr w:rsidR="00903DBB" w14:paraId="0ADAB3AF" w14:textId="77777777" w:rsidTr="00301A6C">
        <w:trPr>
          <w:trHeight w:hRule="exact" w:val="567"/>
        </w:trPr>
        <w:tc>
          <w:tcPr>
            <w:tcW w:w="2835" w:type="dxa"/>
            <w:tcMar>
              <w:top w:w="57" w:type="dxa"/>
            </w:tcMar>
            <w:vAlign w:val="center"/>
          </w:tcPr>
          <w:p w14:paraId="6018F32D" w14:textId="77777777" w:rsidR="004F0C48" w:rsidRDefault="00B86CE1"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835F24B" w14:textId="77777777" w:rsidR="004F0C48" w:rsidRDefault="00B86CE1" w:rsidP="00BA1967">
            <w:pPr>
              <w:pStyle w:val="ESBodyText0"/>
              <w:spacing w:line="240" w:lineRule="auto"/>
              <w:jc w:val="center"/>
            </w:pPr>
            <w:r>
              <w:t>79.5%</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89D0523" w14:textId="77777777" w:rsidR="004F0C48" w:rsidRDefault="00B86CE1" w:rsidP="00BA1967">
            <w:pPr>
              <w:pStyle w:val="ESBodyText0"/>
              <w:spacing w:line="240" w:lineRule="auto"/>
              <w:jc w:val="center"/>
            </w:pPr>
            <w:r>
              <w:t>80.4%</w:t>
            </w:r>
          </w:p>
        </w:tc>
      </w:tr>
    </w:tbl>
    <w:p w14:paraId="032BFB3F" w14:textId="77777777" w:rsidR="004F0C48" w:rsidRDefault="00B86CE1">
      <w:pPr>
        <w:pStyle w:val="ESBodyText0"/>
      </w:pPr>
      <w:r>
        <w:rPr>
          <w:noProof/>
        </w:rPr>
        <mc:AlternateContent>
          <mc:Choice Requires="wps">
            <w:drawing>
              <wp:anchor distT="0" distB="0" distL="114300" distR="114300" simplePos="0" relativeHeight="251675648" behindDoc="0" locked="0" layoutInCell="1" allowOverlap="1" wp14:anchorId="19D39BAE" wp14:editId="6608238C">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21F15D83" w14:textId="77777777" w:rsidR="007A7D8C" w:rsidRPr="007A7D8C" w:rsidRDefault="00B86CE1"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6672" fillcolor="white" stroked="f" strokeweight="0.5pt">
                <v:textbox>
                  <w:txbxContent>
                    <w:p w:rsidR="007A7D8C" w:rsidRPr="007A7D8C" w:rsidP="007A7D8C">
                      <w:pPr>
                        <w:rPr>
                          <w:i/>
                          <w:iCs/>
                          <w:color w:val="AF272F" w:themeColor="accent2"/>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txbxContent>
                </v:textbox>
                <w10:wrap anchorx="margin"/>
              </v:shape>
            </w:pict>
          </mc:Fallback>
        </mc:AlternateContent>
      </w:r>
    </w:p>
    <w:p w14:paraId="49525BFB" w14:textId="77777777" w:rsidR="00AE4639" w:rsidRDefault="00B86CE1">
      <w:pPr>
        <w:pStyle w:val="ESBodyText0"/>
      </w:pPr>
    </w:p>
    <w:p w14:paraId="779F7995" w14:textId="77777777" w:rsidR="000C0E44" w:rsidRDefault="00B86CE1">
      <w:pPr>
        <w:pStyle w:val="ESBodyText0"/>
      </w:pPr>
    </w:p>
    <w:p w14:paraId="3C085253" w14:textId="77777777" w:rsidR="00B9320F" w:rsidRDefault="00B86CE1" w:rsidP="00B9320F">
      <w:pPr>
        <w:pStyle w:val="ESHeading30"/>
        <w:spacing w:before="120"/>
      </w:pPr>
    </w:p>
    <w:p w14:paraId="264B041C" w14:textId="77777777" w:rsidR="003221FB" w:rsidRDefault="00B86CE1" w:rsidP="000D7D46">
      <w:pPr>
        <w:pStyle w:val="ESHeading30"/>
        <w:spacing w:before="480"/>
      </w:pPr>
      <w:r>
        <w:t xml:space="preserve">Student Attitudes to </w:t>
      </w:r>
      <w:r>
        <w:t>School – Management of Bullying</w:t>
      </w:r>
    </w:p>
    <w:p w14:paraId="26E9645D" w14:textId="77777777" w:rsidR="00192005" w:rsidRDefault="00B86CE1">
      <w:pPr>
        <w:pStyle w:val="ESBodyText0"/>
      </w:pPr>
      <w:r>
        <w:t xml:space="preserve">The percent endorsement on Management of Bullying factor, as reported in the Attitudes to School Survey completed annually by Victorian </w:t>
      </w:r>
      <w:r>
        <w:t>g</w:t>
      </w:r>
      <w:r>
        <w:t>overnment school students</w:t>
      </w:r>
      <w:r>
        <w:t xml:space="preserve">, </w:t>
      </w:r>
      <w:r>
        <w:t>indicates the percent of positive responses (agree or strong</w:t>
      </w:r>
      <w:r>
        <w:t>ly agree).</w:t>
      </w:r>
    </w:p>
    <w:p w14:paraId="62BC147B" w14:textId="77777777" w:rsidR="001B1C12" w:rsidRDefault="00B86CE1" w:rsidP="001B1C12">
      <w:pPr>
        <w:pStyle w:val="ESBodyText0"/>
        <w:spacing w:before="120" w:after="240"/>
      </w:pPr>
      <w:r>
        <w:rPr>
          <w:noProof/>
        </w:rPr>
        <w:drawing>
          <wp:anchor distT="0" distB="0" distL="114300" distR="114300" simplePos="0" relativeHeight="251668480" behindDoc="0" locked="0" layoutInCell="1" allowOverlap="1" wp14:anchorId="61489AAF" wp14:editId="396309D6">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903DBB" w14:paraId="2D48FF8C" w14:textId="77777777" w:rsidTr="00301A6C">
        <w:tc>
          <w:tcPr>
            <w:tcW w:w="2835" w:type="dxa"/>
            <w:vAlign w:val="bottom"/>
          </w:tcPr>
          <w:p w14:paraId="646AA493" w14:textId="77777777" w:rsidR="001B1C12" w:rsidRDefault="00B86CE1"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6A3878D6" w14:textId="77777777" w:rsidR="001B1C12" w:rsidRPr="00B20B33" w:rsidRDefault="00B86CE1"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138096FE" w14:textId="77777777" w:rsidR="001B1C12" w:rsidRDefault="00B86CE1" w:rsidP="00BA1967">
            <w:pPr>
              <w:pStyle w:val="ESBodyText0"/>
              <w:spacing w:line="240" w:lineRule="auto"/>
              <w:jc w:val="center"/>
            </w:pPr>
            <w:r>
              <w:t>Latest year (202</w:t>
            </w:r>
            <w:r>
              <w:t>1</w:t>
            </w:r>
            <w:r>
              <w:t>)</w:t>
            </w:r>
          </w:p>
        </w:tc>
        <w:tc>
          <w:tcPr>
            <w:tcW w:w="1060" w:type="dxa"/>
            <w:vAlign w:val="bottom"/>
          </w:tcPr>
          <w:p w14:paraId="472D3B4E" w14:textId="77777777" w:rsidR="001B1C12" w:rsidRDefault="00B86CE1" w:rsidP="00BA1967">
            <w:pPr>
              <w:pStyle w:val="ESBodyText0"/>
              <w:spacing w:line="240" w:lineRule="auto"/>
              <w:jc w:val="center"/>
            </w:pPr>
            <w:r>
              <w:t>4-year average</w:t>
            </w:r>
          </w:p>
        </w:tc>
      </w:tr>
      <w:tr w:rsidR="00903DBB" w14:paraId="1CB059CE" w14:textId="77777777" w:rsidTr="00301A6C">
        <w:trPr>
          <w:trHeight w:hRule="exact" w:val="567"/>
        </w:trPr>
        <w:tc>
          <w:tcPr>
            <w:tcW w:w="2835" w:type="dxa"/>
            <w:tcMar>
              <w:top w:w="57" w:type="dxa"/>
            </w:tcMar>
            <w:vAlign w:val="center"/>
          </w:tcPr>
          <w:p w14:paraId="64805A06" w14:textId="77777777" w:rsidR="001B1C12" w:rsidRDefault="00B86CE1"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2B0A92EA" w14:textId="77777777" w:rsidR="001B1C12" w:rsidRDefault="00B86CE1" w:rsidP="00BA1967">
            <w:pPr>
              <w:pStyle w:val="ESBodyText0"/>
              <w:spacing w:line="240" w:lineRule="auto"/>
              <w:jc w:val="center"/>
            </w:pPr>
            <w:r>
              <w:t>69.6%</w:t>
            </w:r>
          </w:p>
        </w:tc>
        <w:tc>
          <w:tcPr>
            <w:tcW w:w="1060" w:type="dxa"/>
            <w:tcBorders>
              <w:bottom w:val="single" w:sz="4" w:space="0" w:color="FFFFFF" w:themeColor="background1"/>
            </w:tcBorders>
            <w:shd w:val="clear" w:color="auto" w:fill="FFC000"/>
            <w:tcMar>
              <w:top w:w="57" w:type="dxa"/>
            </w:tcMar>
            <w:vAlign w:val="center"/>
          </w:tcPr>
          <w:p w14:paraId="4FB2E2B7" w14:textId="77777777" w:rsidR="001B1C12" w:rsidRDefault="00B86CE1" w:rsidP="00BA1967">
            <w:pPr>
              <w:pStyle w:val="ESBodyText0"/>
              <w:spacing w:line="240" w:lineRule="auto"/>
              <w:jc w:val="center"/>
            </w:pPr>
            <w:r>
              <w:t>80.3%</w:t>
            </w:r>
          </w:p>
        </w:tc>
      </w:tr>
      <w:tr w:rsidR="00903DBB" w14:paraId="25AABE8B" w14:textId="77777777" w:rsidTr="00301A6C">
        <w:trPr>
          <w:trHeight w:hRule="exact" w:val="567"/>
        </w:trPr>
        <w:tc>
          <w:tcPr>
            <w:tcW w:w="2835" w:type="dxa"/>
            <w:tcMar>
              <w:top w:w="57" w:type="dxa"/>
            </w:tcMar>
            <w:vAlign w:val="center"/>
          </w:tcPr>
          <w:p w14:paraId="3471E6B7" w14:textId="77777777" w:rsidR="001B1C12" w:rsidRDefault="00B86CE1"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0ACBAC6" w14:textId="77777777" w:rsidR="001B1C12" w:rsidRPr="00B20B33" w:rsidRDefault="00B86CE1" w:rsidP="00BA1967">
            <w:pPr>
              <w:pStyle w:val="ESBodyText0"/>
              <w:spacing w:line="240" w:lineRule="auto"/>
              <w:jc w:val="center"/>
              <w:rPr>
                <w:color w:val="FFFFFF" w:themeColor="background1"/>
              </w:rPr>
            </w:pPr>
            <w:r>
              <w:rPr>
                <w:color w:val="FFFFFF" w:themeColor="background1"/>
              </w:rPr>
              <w:t>78.0%</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4D85EB8F" w14:textId="77777777" w:rsidR="001B1C12" w:rsidRPr="00B20B33" w:rsidRDefault="00B86CE1" w:rsidP="00BA1967">
            <w:pPr>
              <w:pStyle w:val="ESBodyText0"/>
              <w:spacing w:line="240" w:lineRule="auto"/>
              <w:jc w:val="center"/>
              <w:rPr>
                <w:color w:val="FFFFFF" w:themeColor="background1"/>
              </w:rPr>
            </w:pPr>
            <w:r>
              <w:rPr>
                <w:color w:val="FFFFFF" w:themeColor="background1"/>
              </w:rPr>
              <w:t>79.7%</w:t>
            </w:r>
          </w:p>
        </w:tc>
      </w:tr>
      <w:tr w:rsidR="00903DBB" w14:paraId="6D2C6F95" w14:textId="77777777" w:rsidTr="00301A6C">
        <w:trPr>
          <w:trHeight w:hRule="exact" w:val="567"/>
        </w:trPr>
        <w:tc>
          <w:tcPr>
            <w:tcW w:w="2835" w:type="dxa"/>
            <w:tcMar>
              <w:top w:w="57" w:type="dxa"/>
            </w:tcMar>
            <w:vAlign w:val="center"/>
          </w:tcPr>
          <w:p w14:paraId="225C9C0F" w14:textId="77777777" w:rsidR="001B1C12" w:rsidRDefault="00B86CE1"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55DBC2D1" w14:textId="77777777" w:rsidR="001B1C12" w:rsidRDefault="00B86CE1" w:rsidP="00BA1967">
            <w:pPr>
              <w:pStyle w:val="ESBodyText0"/>
              <w:spacing w:line="240" w:lineRule="auto"/>
              <w:jc w:val="center"/>
            </w:pPr>
            <w:r>
              <w:t>78.4%</w:t>
            </w:r>
          </w:p>
        </w:tc>
        <w:tc>
          <w:tcPr>
            <w:tcW w:w="1060" w:type="dxa"/>
            <w:tcBorders>
              <w:top w:val="single" w:sz="4" w:space="0" w:color="FFFFFF" w:themeColor="background1"/>
            </w:tcBorders>
            <w:shd w:val="clear" w:color="auto" w:fill="A6A6A6" w:themeFill="background1" w:themeFillShade="A6"/>
            <w:tcMar>
              <w:top w:w="57" w:type="dxa"/>
            </w:tcMar>
            <w:vAlign w:val="center"/>
          </w:tcPr>
          <w:p w14:paraId="6ACD9DD2" w14:textId="77777777" w:rsidR="001B1C12" w:rsidRDefault="00B86CE1" w:rsidP="00BA1967">
            <w:pPr>
              <w:pStyle w:val="ESBodyText0"/>
              <w:spacing w:line="240" w:lineRule="auto"/>
              <w:jc w:val="center"/>
            </w:pPr>
            <w:r>
              <w:t>79.7%</w:t>
            </w:r>
          </w:p>
        </w:tc>
      </w:tr>
    </w:tbl>
    <w:p w14:paraId="5CC18F5A" w14:textId="77777777" w:rsidR="001B1C12" w:rsidRDefault="00B86CE1">
      <w:pPr>
        <w:pStyle w:val="ESBodyText0"/>
      </w:pPr>
      <w:r>
        <w:rPr>
          <w:noProof/>
        </w:rPr>
        <mc:AlternateContent>
          <mc:Choice Requires="wps">
            <w:drawing>
              <wp:anchor distT="0" distB="0" distL="114300" distR="114300" simplePos="0" relativeHeight="251677696" behindDoc="0" locked="0" layoutInCell="1" allowOverlap="1" wp14:anchorId="277D1D8D" wp14:editId="05E376A7">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7E4F3B91" w14:textId="77777777" w:rsidR="00E550AF" w:rsidRPr="00C42723" w:rsidRDefault="00B86CE1" w:rsidP="00E550AF">
                            <w:pPr>
                              <w:rPr>
                                <w:i/>
                                <w:iCs/>
                                <w:lang w:val="en-AU"/>
                              </w:rPr>
                            </w:pPr>
                            <w:r w:rsidRPr="001A0A79">
                              <w:rPr>
                                <w:i/>
                                <w:iCs/>
                                <w:lang w:val="en-AU"/>
                              </w:rPr>
                              <w:t xml:space="preserve">Due to lower participation rates, differences in the </w:t>
                            </w:r>
                            <w:r w:rsidRPr="001A0A79">
                              <w:rPr>
                                <w:i/>
                                <w:iCs/>
                                <w:lang w:val="en-AU"/>
                              </w:rPr>
                              <w:t>timing of the survey/length of survey period and the general impact of Covid19 across 2020 and 2021, data are often not comparable with previous years or within similar school groups. Care should be taken when interpreting these results.</w:t>
                            </w:r>
                          </w:p>
                          <w:p w14:paraId="40AD2E39" w14:textId="77777777" w:rsidR="007A7D8C" w:rsidRPr="007A7D8C" w:rsidRDefault="00B86CE1"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8720" fillcolor="white" stroked="f" strokeweight="0.5pt">
                <v:textbox>
                  <w:txbxContent>
                    <w:p w:rsidR="00E550AF" w:rsidRPr="00C42723" w:rsidP="00E550AF">
                      <w:pPr>
                        <w:rPr>
                          <w:i/>
                          <w:iCs/>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14:paraId="08A56303" w14:textId="77777777" w:rsidR="001B1C12" w:rsidRDefault="00B86CE1">
      <w:pPr>
        <w:pStyle w:val="ESBodyText0"/>
      </w:pPr>
    </w:p>
    <w:p w14:paraId="4BD43278" w14:textId="77777777" w:rsidR="000C0E44" w:rsidRDefault="00B86CE1">
      <w:pPr>
        <w:pStyle w:val="ESBodyText0"/>
      </w:pPr>
    </w:p>
    <w:p w14:paraId="26A11144" w14:textId="77777777" w:rsidR="009E6D61" w:rsidRDefault="00B86CE1">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0C203838" w14:textId="77777777" w:rsidR="009E6D61" w:rsidRPr="0017363D" w:rsidRDefault="00B86CE1" w:rsidP="00D4348E">
      <w:pPr>
        <w:pStyle w:val="ESHeading10"/>
        <w:rPr>
          <w:b/>
          <w:bCs w:val="0"/>
          <w:sz w:val="44"/>
          <w:szCs w:val="52"/>
        </w:rPr>
      </w:pPr>
      <w:r w:rsidRPr="0017363D">
        <w:rPr>
          <w:b/>
          <w:bCs w:val="0"/>
          <w:sz w:val="44"/>
          <w:szCs w:val="52"/>
        </w:rPr>
        <w:lastRenderedPageBreak/>
        <w:t>Financial Performance and Position</w:t>
      </w:r>
    </w:p>
    <w:p w14:paraId="4B198001" w14:textId="77777777" w:rsidR="009E6D61" w:rsidRPr="0099239B" w:rsidRDefault="00B86CE1"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2021</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903DBB" w14:paraId="7782267F" w14:textId="77777777" w:rsidTr="00903DB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2C508107" w14:textId="77777777" w:rsidR="009E6D61" w:rsidRPr="00243D95" w:rsidRDefault="00B86CE1">
            <w:pPr>
              <w:spacing w:before="40" w:after="40" w:line="240" w:lineRule="auto"/>
              <w:rPr>
                <w:rFonts w:cs="Times New Roman"/>
                <w:szCs w:val="22"/>
              </w:rPr>
            </w:pPr>
            <w:bookmarkStart w:id="4"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2772BB24" w14:textId="77777777" w:rsidR="009E6D61" w:rsidRPr="00243D95" w:rsidRDefault="00B86C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903DBB" w14:paraId="75C894FC"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570BCED8" w14:textId="77777777" w:rsidR="009E6D61" w:rsidRDefault="00B86CE1">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7B0B2648"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$1,742,746</w:t>
            </w:r>
          </w:p>
        </w:tc>
      </w:tr>
      <w:tr w:rsidR="00903DBB" w14:paraId="0619AFEE"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2B087911" w14:textId="77777777" w:rsidR="009E6D61" w:rsidRDefault="00B86CE1">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7F193BD7"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$274,586</w:t>
            </w:r>
          </w:p>
        </w:tc>
      </w:tr>
      <w:tr w:rsidR="00903DBB" w14:paraId="7155133D"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227EE4A7" w14:textId="77777777" w:rsidR="009E6D61" w:rsidRDefault="00B86CE1">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79168E11"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$20,956</w:t>
            </w:r>
          </w:p>
        </w:tc>
      </w:tr>
      <w:tr w:rsidR="00903DBB" w14:paraId="45B7B04C"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7D00F1B" w14:textId="77777777" w:rsidR="009E6D61" w:rsidRDefault="00B86CE1">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33E07A11"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$23,929</w:t>
            </w:r>
          </w:p>
        </w:tc>
      </w:tr>
      <w:tr w:rsidR="00903DBB" w14:paraId="421EAECB"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2F33072" w14:textId="77777777" w:rsidR="009E6D61" w:rsidRDefault="00B86CE1">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36966147"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$2,102</w:t>
            </w:r>
          </w:p>
        </w:tc>
      </w:tr>
      <w:tr w:rsidR="00903DBB" w14:paraId="0501F0BB"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2E247EF5" w14:textId="77777777" w:rsidR="009E6D61" w:rsidRDefault="00B86CE1">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49275558"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$94,685</w:t>
            </w:r>
          </w:p>
        </w:tc>
      </w:tr>
      <w:tr w:rsidR="00903DBB" w14:paraId="2FD249AA"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367CEEA8" w14:textId="77777777" w:rsidR="007A1EF3" w:rsidRPr="007A1EF3" w:rsidRDefault="00B86CE1">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71DC69C3" w14:textId="77777777" w:rsidR="007A1EF3"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1303DC8E"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3160C0EC" w14:textId="77777777" w:rsidR="009E6D61" w:rsidRDefault="00B86CE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67D5E01E" w14:textId="77777777" w:rsidR="009E6D61" w:rsidRPr="00243D95" w:rsidRDefault="00B86CE1">
            <w:pPr>
              <w:jc w:val="right"/>
              <w:cnfStyle w:val="000000000000" w:firstRow="0" w:lastRow="0" w:firstColumn="0" w:lastColumn="0" w:oddVBand="0" w:evenVBand="0" w:oddHBand="0" w:evenHBand="0" w:firstRowFirstColumn="0" w:firstRowLastColumn="0" w:lastRowFirstColumn="0" w:lastRowLastColumn="0"/>
              <w:rPr>
                <w:b/>
                <w:bCs/>
              </w:rPr>
            </w:pPr>
            <w:r>
              <w:rPr>
                <w:b/>
                <w:bCs/>
              </w:rPr>
              <w:t>$2,159,003</w:t>
            </w:r>
          </w:p>
        </w:tc>
      </w:tr>
      <w:bookmarkEnd w:id="4"/>
    </w:tbl>
    <w:p w14:paraId="1630FE84" w14:textId="77777777" w:rsidR="009E6D61" w:rsidRDefault="00B86CE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903DBB" w14:paraId="34244E88" w14:textId="77777777" w:rsidTr="00903DB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70A0DA01" w14:textId="77777777" w:rsidR="009E6D61" w:rsidRPr="00243D95" w:rsidRDefault="00B86CE1">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65D84036" w14:textId="77777777" w:rsidR="009E6D61" w:rsidRPr="00243D95" w:rsidRDefault="00B86C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903DBB" w14:paraId="609E29A2"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6FE574FF" w14:textId="77777777" w:rsidR="009E6D61" w:rsidRDefault="00B86CE1">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50C64050"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$45,317</w:t>
            </w:r>
          </w:p>
        </w:tc>
      </w:tr>
      <w:tr w:rsidR="00903DBB" w14:paraId="281378CE"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2EB00D42" w14:textId="77777777" w:rsidR="009E6D61" w:rsidRDefault="00B86CE1">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32F97BE9"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3A259B6B"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0E0E448A" w14:textId="77777777" w:rsidR="009E6D61" w:rsidRDefault="00B86CE1">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54682378"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0F84E01F"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4FC83621" w14:textId="77777777" w:rsidR="009E6D61" w:rsidRDefault="00B86CE1" w:rsidP="00243D95">
            <w:pPr>
              <w:spacing w:before="40" w:after="40" w:line="240" w:lineRule="auto"/>
              <w:rPr>
                <w:rFonts w:cs="Times New Roman"/>
                <w:szCs w:val="22"/>
              </w:rPr>
            </w:pPr>
            <w:r>
              <w:rPr>
                <w:rFonts w:cs="Times New Roman"/>
                <w:b w:val="0"/>
                <w:szCs w:val="22"/>
              </w:rPr>
              <w:t>Equity (Social Disadvantage – Extraordinary Growth)</w:t>
            </w:r>
          </w:p>
          <w:p w14:paraId="4ED17D29" w14:textId="77777777" w:rsidR="009E6D61" w:rsidRDefault="00B86CE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55BB5A52"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581A0C35"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7796C10D" w14:textId="77777777" w:rsidR="009E6D61" w:rsidRPr="00243D95" w:rsidRDefault="00B86CE1"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6D790DF9" w14:textId="77777777" w:rsidR="009E6D61" w:rsidRPr="00243D95" w:rsidRDefault="00B86CE1">
            <w:pPr>
              <w:jc w:val="right"/>
              <w:cnfStyle w:val="000000100000" w:firstRow="0" w:lastRow="0" w:firstColumn="0" w:lastColumn="0" w:oddVBand="0" w:evenVBand="0" w:oddHBand="1" w:evenHBand="0" w:firstRowFirstColumn="0" w:firstRowLastColumn="0" w:lastRowFirstColumn="0" w:lastRowLastColumn="0"/>
              <w:rPr>
                <w:b/>
                <w:bCs/>
              </w:rPr>
            </w:pPr>
            <w:r>
              <w:rPr>
                <w:b/>
                <w:bCs/>
              </w:rPr>
              <w:t>$45,317</w:t>
            </w:r>
          </w:p>
        </w:tc>
      </w:tr>
    </w:tbl>
    <w:p w14:paraId="7A5325BE" w14:textId="77777777" w:rsidR="009E6D61" w:rsidRDefault="00B86CE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903DBB" w14:paraId="4DC21B6B" w14:textId="77777777" w:rsidTr="00903DB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2DBD7B7" w14:textId="77777777" w:rsidR="009E6D61" w:rsidRPr="00243D95" w:rsidRDefault="00B86CE1">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26EF84B0" w14:textId="77777777" w:rsidR="009E6D61" w:rsidRPr="00243D95" w:rsidRDefault="00B86C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903DBB" w14:paraId="75B7D6CE"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2AA2BCA7" w14:textId="77777777" w:rsidR="009E6D61" w:rsidRDefault="00B86CE1">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402C11E8"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$1,804,715</w:t>
            </w:r>
          </w:p>
        </w:tc>
      </w:tr>
      <w:tr w:rsidR="00903DBB" w14:paraId="1A880A95"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8B8A1C3" w14:textId="77777777" w:rsidR="009E6D61" w:rsidRDefault="00B86CE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E22724E"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48D0D51B"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00AAD59" w14:textId="77777777" w:rsidR="009E6D61" w:rsidRDefault="00B86CE1">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64A92A83"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$1,522</w:t>
            </w:r>
          </w:p>
        </w:tc>
      </w:tr>
      <w:tr w:rsidR="00903DBB" w14:paraId="321BDED3"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E8C4DC5" w14:textId="77777777" w:rsidR="00D23FDF" w:rsidRDefault="00B86CE1"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379033B1" w14:textId="77777777" w:rsidR="00D23FDF" w:rsidRDefault="00B86CE1" w:rsidP="006D3611">
            <w:pPr>
              <w:jc w:val="right"/>
              <w:cnfStyle w:val="000000000000" w:firstRow="0" w:lastRow="0" w:firstColumn="0" w:lastColumn="0" w:oddVBand="0" w:evenVBand="0" w:oddHBand="0" w:evenHBand="0" w:firstRowFirstColumn="0" w:firstRowLastColumn="0" w:lastRowFirstColumn="0" w:lastRowLastColumn="0"/>
            </w:pPr>
            <w:r>
              <w:t>$38,128</w:t>
            </w:r>
          </w:p>
        </w:tc>
      </w:tr>
      <w:tr w:rsidR="00903DBB" w14:paraId="61E218F2"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240101A" w14:textId="77777777" w:rsidR="009E6D61" w:rsidRDefault="00B86CE1">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EB6B247"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$3,529</w:t>
            </w:r>
          </w:p>
        </w:tc>
      </w:tr>
      <w:tr w:rsidR="00903DBB" w14:paraId="2AA72A06"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9E3DCDF" w14:textId="77777777" w:rsidR="009E6D61" w:rsidRDefault="00B86CE1">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59D327F"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$45,389</w:t>
            </w:r>
          </w:p>
        </w:tc>
      </w:tr>
      <w:tr w:rsidR="00903DBB" w14:paraId="6E6368CA"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A03F3A1" w14:textId="77777777" w:rsidR="009E6D61" w:rsidRDefault="00B86CE1">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4A66452"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$13,014</w:t>
            </w:r>
          </w:p>
        </w:tc>
      </w:tr>
      <w:tr w:rsidR="00903DBB" w14:paraId="4C4151AC"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6B806C3" w14:textId="77777777" w:rsidR="009E6D61" w:rsidRDefault="00B86CE1">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CE870F0"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$2,518</w:t>
            </w:r>
          </w:p>
        </w:tc>
      </w:tr>
      <w:tr w:rsidR="00903DBB" w14:paraId="08A13898"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0E70CF4" w14:textId="77777777" w:rsidR="00926560" w:rsidRDefault="00B86CE1"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AE89B79" w14:textId="77777777" w:rsidR="00926560" w:rsidRDefault="00B86CE1" w:rsidP="006D3611">
            <w:pPr>
              <w:jc w:val="right"/>
              <w:cnfStyle w:val="000000100000" w:firstRow="0" w:lastRow="0" w:firstColumn="0" w:lastColumn="0" w:oddVBand="0" w:evenVBand="0" w:oddHBand="1" w:evenHBand="0" w:firstRowFirstColumn="0" w:firstRowLastColumn="0" w:lastRowFirstColumn="0" w:lastRowLastColumn="0"/>
            </w:pPr>
            <w:r>
              <w:t>$100,898</w:t>
            </w:r>
          </w:p>
        </w:tc>
      </w:tr>
      <w:tr w:rsidR="00903DBB" w14:paraId="008C3997"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C04D0AC" w14:textId="77777777" w:rsidR="009E6D61" w:rsidRDefault="00B86CE1">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FC62BD4"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$99,313</w:t>
            </w:r>
          </w:p>
        </w:tc>
      </w:tr>
      <w:tr w:rsidR="00903DBB" w14:paraId="6CC0B8D2"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E89F39B" w14:textId="77777777" w:rsidR="009E6D61" w:rsidRDefault="00B86CE1">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D53390F"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$3,046</w:t>
            </w:r>
          </w:p>
        </w:tc>
      </w:tr>
      <w:tr w:rsidR="00903DBB" w14:paraId="2532C0E4"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87F339B" w14:textId="77777777" w:rsidR="00ED0F56" w:rsidRDefault="00B86CE1">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2EBA558" w14:textId="77777777" w:rsidR="00ED0F56" w:rsidRDefault="00B86CE1">
            <w:pPr>
              <w:jc w:val="right"/>
              <w:cnfStyle w:val="000000000000" w:firstRow="0" w:lastRow="0" w:firstColumn="0" w:lastColumn="0" w:oddVBand="0" w:evenVBand="0" w:oddHBand="0" w:evenHBand="0" w:firstRowFirstColumn="0" w:firstRowLastColumn="0" w:lastRowFirstColumn="0" w:lastRowLastColumn="0"/>
            </w:pPr>
            <w:r>
              <w:t>$82,894</w:t>
            </w:r>
          </w:p>
        </w:tc>
      </w:tr>
      <w:tr w:rsidR="00903DBB" w14:paraId="5EBF2533"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71EACD8" w14:textId="77777777" w:rsidR="009E6D61" w:rsidRDefault="00B86CE1">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ED9A5EC"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$25,603</w:t>
            </w:r>
          </w:p>
        </w:tc>
      </w:tr>
      <w:tr w:rsidR="00903DBB" w14:paraId="485AC559"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60306E4" w14:textId="77777777" w:rsidR="00926560" w:rsidRDefault="00B86CE1"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D2C5237" w14:textId="77777777" w:rsidR="00926560" w:rsidRDefault="00B86CE1"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532EA7A6"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D51B81A" w14:textId="77777777" w:rsidR="009E6D61" w:rsidRDefault="00B86CE1">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310B64F"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0B7A7B10"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3FE278ED" w14:textId="77777777" w:rsidR="009E6D61" w:rsidRDefault="00B86CE1">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6E45EBF8"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$20,549</w:t>
            </w:r>
          </w:p>
        </w:tc>
      </w:tr>
      <w:tr w:rsidR="00903DBB" w14:paraId="540871D6"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4CFD2ED" w14:textId="77777777" w:rsidR="009E6D61" w:rsidRDefault="00B86CE1">
            <w:pPr>
              <w:rPr>
                <w:rFonts w:cs="Times New Roman"/>
                <w:szCs w:val="22"/>
              </w:rPr>
            </w:pPr>
            <w:r>
              <w:rPr>
                <w:rFonts w:cs="Times New Roman"/>
                <w:szCs w:val="22"/>
              </w:rPr>
              <w:t>Total Operating Expenditure</w:t>
            </w:r>
          </w:p>
          <w:p w14:paraId="63DBBE30" w14:textId="77777777" w:rsidR="009E6D61" w:rsidRDefault="00B86CE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001C2D74" w14:textId="77777777" w:rsidR="009E6D61" w:rsidRPr="0099239B" w:rsidRDefault="00B86CE1">
            <w:pPr>
              <w:jc w:val="right"/>
              <w:cnfStyle w:val="000000100000" w:firstRow="0" w:lastRow="0" w:firstColumn="0" w:lastColumn="0" w:oddVBand="0" w:evenVBand="0" w:oddHBand="1" w:evenHBand="0" w:firstRowFirstColumn="0" w:firstRowLastColumn="0" w:lastRowFirstColumn="0" w:lastRowLastColumn="0"/>
              <w:rPr>
                <w:b/>
                <w:bCs/>
              </w:rPr>
            </w:pPr>
            <w:r>
              <w:rPr>
                <w:b/>
                <w:bCs/>
              </w:rPr>
              <w:t>$2,241,116</w:t>
            </w:r>
          </w:p>
        </w:tc>
      </w:tr>
      <w:tr w:rsidR="00903DBB" w14:paraId="34F63493"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63040F82" w14:textId="77777777" w:rsidR="009E6D61" w:rsidRDefault="00B86CE1">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2DD3E49D" w14:textId="77777777" w:rsidR="009E6D61" w:rsidRPr="0099239B" w:rsidRDefault="00B86CE1">
            <w:pPr>
              <w:jc w:val="right"/>
              <w:cnfStyle w:val="000000000000" w:firstRow="0" w:lastRow="0" w:firstColumn="0" w:lastColumn="0" w:oddVBand="0" w:evenVBand="0" w:oddHBand="0" w:evenHBand="0" w:firstRowFirstColumn="0" w:firstRowLastColumn="0" w:lastRowFirstColumn="0" w:lastRowLastColumn="0"/>
              <w:rPr>
                <w:b/>
                <w:bCs/>
              </w:rPr>
            </w:pPr>
            <w:r>
              <w:rPr>
                <w:b/>
                <w:bCs/>
              </w:rPr>
              <w:t>($82,113)</w:t>
            </w:r>
          </w:p>
        </w:tc>
      </w:tr>
      <w:tr w:rsidR="00903DBB" w14:paraId="3FBA032A"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644BC790" w14:textId="77777777" w:rsidR="009E6D61" w:rsidRDefault="00B86CE1">
            <w:pPr>
              <w:rPr>
                <w:rFonts w:cs="Times New Roman"/>
                <w:szCs w:val="22"/>
              </w:rPr>
            </w:pPr>
            <w:r>
              <w:rPr>
                <w:rFonts w:cs="Times New Roman"/>
                <w:szCs w:val="22"/>
              </w:rPr>
              <w:t xml:space="preserve">Asset </w:t>
            </w:r>
            <w:r>
              <w:rPr>
                <w:rFonts w:cs="Times New Roman"/>
                <w:szCs w:val="22"/>
              </w:rPr>
              <w:t>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4A33C930" w14:textId="77777777" w:rsidR="009E6D61" w:rsidRPr="0099239B" w:rsidRDefault="00B86CE1">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r>
    </w:tbl>
    <w:p w14:paraId="5E183C18" w14:textId="77777777" w:rsidR="000C0E44" w:rsidRDefault="00B86CE1" w:rsidP="000C0E44">
      <w:pPr>
        <w:pStyle w:val="ESBodyText0"/>
        <w:numPr>
          <w:ilvl w:val="0"/>
          <w:numId w:val="29"/>
        </w:numPr>
      </w:pPr>
      <w:r>
        <w:t>The equity funding reported above is a subset of the overall revenue reported by the school.</w:t>
      </w:r>
    </w:p>
    <w:p w14:paraId="62C65CC1" w14:textId="77777777" w:rsidR="000C0E44" w:rsidRDefault="00B86CE1" w:rsidP="000C0E44">
      <w:pPr>
        <w:pStyle w:val="ESBodyText0"/>
        <w:numPr>
          <w:ilvl w:val="0"/>
          <w:numId w:val="29"/>
        </w:numPr>
      </w:pPr>
      <w:r>
        <w:t>Student Resource Package Expenditure figures are as of 24 Feb 2022</w:t>
      </w:r>
      <w:r>
        <w:t xml:space="preserve"> and are subject to change during the reconciliation process.</w:t>
      </w:r>
    </w:p>
    <w:p w14:paraId="6EE13180" w14:textId="77777777" w:rsidR="000C0E44" w:rsidRDefault="00B86CE1" w:rsidP="000C0E44">
      <w:pPr>
        <w:pStyle w:val="ESBodyText0"/>
        <w:numPr>
          <w:ilvl w:val="0"/>
          <w:numId w:val="29"/>
        </w:numPr>
      </w:pPr>
      <w:r>
        <w:t>Miscellaneous Expenses include bank charges, administration expenses, insurance and taxation charges.</w:t>
      </w:r>
    </w:p>
    <w:p w14:paraId="5034F016" w14:textId="77777777" w:rsidR="000C0E44" w:rsidRDefault="00B86CE1" w:rsidP="00274E29">
      <w:pPr>
        <w:pStyle w:val="ESBodyText0"/>
        <w:numPr>
          <w:ilvl w:val="0"/>
          <w:numId w:val="29"/>
        </w:numPr>
      </w:pPr>
      <w:r>
        <w:t>Salaries and Allowances refers to school-level payroll.</w:t>
      </w:r>
    </w:p>
    <w:p w14:paraId="19EB6E1C" w14:textId="77777777" w:rsidR="0099239B" w:rsidRPr="000C0E44" w:rsidRDefault="00B86CE1">
      <w:pPr>
        <w:spacing w:after="0" w:line="240" w:lineRule="auto"/>
        <w:rPr>
          <w:rFonts w:eastAsiaTheme="majorEastAsia" w:cstheme="majorBidi"/>
          <w:caps/>
          <w:sz w:val="20"/>
          <w:szCs w:val="20"/>
        </w:rPr>
      </w:pPr>
      <w:r>
        <w:br w:type="page"/>
      </w:r>
    </w:p>
    <w:p w14:paraId="77EBF425" w14:textId="77777777" w:rsidR="009E6D61" w:rsidRDefault="00B86CE1" w:rsidP="004143FD">
      <w:pPr>
        <w:pStyle w:val="Style10"/>
        <w:spacing w:before="240" w:after="480" w:line="240" w:lineRule="atLeast"/>
        <w:rPr>
          <w:szCs w:val="24"/>
        </w:rPr>
      </w:pPr>
      <w:r w:rsidRPr="0099239B">
        <w:rPr>
          <w:szCs w:val="24"/>
        </w:rPr>
        <w:lastRenderedPageBreak/>
        <w:t>F</w:t>
      </w:r>
      <w:r>
        <w:rPr>
          <w:szCs w:val="24"/>
        </w:rPr>
        <w:t>INANCIAL POSITION AS AT 31 DECEMBER 2021</w:t>
      </w:r>
    </w:p>
    <w:tbl>
      <w:tblPr>
        <w:tblStyle w:val="GridTable2-Accent612"/>
        <w:tblW w:w="2876" w:type="pct"/>
        <w:jc w:val="center"/>
        <w:tblLook w:val="04A0" w:firstRow="1" w:lastRow="0" w:firstColumn="1" w:lastColumn="0" w:noHBand="0" w:noVBand="1"/>
        <w:tblCaption w:val="Fund available"/>
      </w:tblPr>
      <w:tblGrid>
        <w:gridCol w:w="4395"/>
        <w:gridCol w:w="1798"/>
      </w:tblGrid>
      <w:tr w:rsidR="00903DBB" w14:paraId="79B18804" w14:textId="77777777" w:rsidTr="00903DB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20236B0" w14:textId="77777777" w:rsidR="009E6D61" w:rsidRPr="004143FD" w:rsidRDefault="00B86CE1">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19F8D289" w14:textId="77777777" w:rsidR="009E6D61" w:rsidRPr="004143FD" w:rsidRDefault="00B86C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903DBB" w14:paraId="27B58535"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2ABBEEC6" w14:textId="77777777" w:rsidR="009E6D61" w:rsidRDefault="00B86CE1">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06C3FC5F"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$105,743</w:t>
            </w:r>
          </w:p>
        </w:tc>
      </w:tr>
      <w:tr w:rsidR="00903DBB" w14:paraId="08C7D87C"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79C3FAAC" w14:textId="77777777" w:rsidR="009E6D61" w:rsidRDefault="00B86CE1">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6E749011"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$65,086</w:t>
            </w:r>
          </w:p>
        </w:tc>
      </w:tr>
      <w:tr w:rsidR="00903DBB" w14:paraId="18F970FE"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75C8CDB5" w14:textId="77777777" w:rsidR="009E6D61" w:rsidRDefault="00B86CE1">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33888F97"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03933901"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347091A6" w14:textId="77777777" w:rsidR="009E6D61" w:rsidRPr="000C0E44" w:rsidRDefault="00B86CE1">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5D904AD2" w14:textId="77777777" w:rsidR="009E6D61" w:rsidRPr="000C0E44" w:rsidRDefault="00B86CE1">
            <w:pPr>
              <w:jc w:val="right"/>
              <w:cnfStyle w:val="000000000000" w:firstRow="0" w:lastRow="0" w:firstColumn="0" w:lastColumn="0" w:oddVBand="0" w:evenVBand="0" w:oddHBand="0" w:evenHBand="0" w:firstRowFirstColumn="0" w:firstRowLastColumn="0" w:lastRowFirstColumn="0" w:lastRowLastColumn="0"/>
              <w:rPr>
                <w:b/>
                <w:bCs/>
              </w:rPr>
            </w:pPr>
            <w:r>
              <w:rPr>
                <w:b/>
                <w:bCs/>
              </w:rPr>
              <w:t>$170,829</w:t>
            </w:r>
          </w:p>
        </w:tc>
      </w:tr>
    </w:tbl>
    <w:p w14:paraId="41FE7F41" w14:textId="77777777" w:rsidR="009E6D61" w:rsidRDefault="00B86CE1"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903DBB" w14:paraId="20F1D3A0" w14:textId="77777777" w:rsidTr="00903DB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5B64BAAD" w14:textId="77777777" w:rsidR="009E6D61" w:rsidRPr="004143FD" w:rsidRDefault="00B86CE1">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425A656D" w14:textId="77777777" w:rsidR="009E6D61" w:rsidRPr="004143FD" w:rsidRDefault="00B86CE1">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903DBB" w14:paraId="7A948B43"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78507079" w14:textId="77777777" w:rsidR="009E6D61" w:rsidRDefault="00B86CE1">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40F7B982"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$60,817</w:t>
            </w:r>
          </w:p>
        </w:tc>
      </w:tr>
      <w:tr w:rsidR="00903DBB" w14:paraId="13BEF8EC"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FAF7DC8" w14:textId="77777777" w:rsidR="009E6D61" w:rsidRDefault="00B86CE1">
            <w:pPr>
              <w:spacing w:before="40" w:after="40" w:line="240" w:lineRule="auto"/>
              <w:rPr>
                <w:rFonts w:cs="Times New Roman"/>
                <w:szCs w:val="22"/>
              </w:rPr>
            </w:pPr>
            <w:r>
              <w:rPr>
                <w:b w:val="0"/>
                <w:lang w:val="en-US"/>
              </w:rPr>
              <w:t xml:space="preserve">Other </w:t>
            </w:r>
            <w:r>
              <w:rPr>
                <w:b w:val="0"/>
                <w:lang w:val="en-US"/>
              </w:rPr>
              <w:t>Recurrent Expenditure</w:t>
            </w:r>
          </w:p>
        </w:tc>
        <w:tc>
          <w:tcPr>
            <w:tcW w:w="1450" w:type="pct"/>
            <w:tcBorders>
              <w:top w:val="nil"/>
              <w:left w:val="nil"/>
              <w:bottom w:val="nil"/>
            </w:tcBorders>
            <w:shd w:val="clear" w:color="auto" w:fill="F2F2F2" w:themeFill="background1" w:themeFillShade="F2"/>
            <w:noWrap/>
            <w:vAlign w:val="center"/>
          </w:tcPr>
          <w:p w14:paraId="7A791F9E"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3671D8E6"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060276A" w14:textId="77777777" w:rsidR="009E6D61" w:rsidRDefault="00B86CE1">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23D4D165"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63C37E3E"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89AB4CA" w14:textId="77777777" w:rsidR="009E6D61" w:rsidRDefault="00B86CE1">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72167CED"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$24,280</w:t>
            </w:r>
          </w:p>
        </w:tc>
      </w:tr>
      <w:tr w:rsidR="00903DBB" w14:paraId="5EE78804"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DCEEAF6" w14:textId="77777777" w:rsidR="009E6D61" w:rsidRDefault="00B86CE1">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6618C26C"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$12,367</w:t>
            </w:r>
          </w:p>
        </w:tc>
      </w:tr>
      <w:tr w:rsidR="00903DBB" w14:paraId="556F506E"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359F909" w14:textId="77777777" w:rsidR="009E6D61" w:rsidRDefault="00B86CE1">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5DB3CA93"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06731F80"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A6D5C70" w14:textId="77777777" w:rsidR="009E6D61" w:rsidRDefault="00B86CE1">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407FEB4F"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5FCD147C"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98C3743" w14:textId="77777777" w:rsidR="009E6D61" w:rsidRDefault="00B86CE1">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6330BCEF"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3CA58D9F"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997B5F5" w14:textId="77777777" w:rsidR="009E6D61" w:rsidRDefault="00B86CE1">
            <w:pPr>
              <w:spacing w:before="40" w:after="40" w:line="240" w:lineRule="auto"/>
              <w:rPr>
                <w:rFonts w:cs="Times New Roman"/>
                <w:szCs w:val="22"/>
              </w:rPr>
            </w:pPr>
            <w:r>
              <w:rPr>
                <w:b w:val="0"/>
                <w:lang w:val="en-US"/>
              </w:rPr>
              <w:t xml:space="preserve">Repayable to the </w:t>
            </w:r>
            <w:r>
              <w:rPr>
                <w:b w:val="0"/>
                <w:lang w:val="en-US"/>
              </w:rPr>
              <w:t>Department</w:t>
            </w:r>
          </w:p>
        </w:tc>
        <w:tc>
          <w:tcPr>
            <w:tcW w:w="1450" w:type="pct"/>
            <w:tcBorders>
              <w:top w:val="nil"/>
              <w:left w:val="nil"/>
              <w:bottom w:val="nil"/>
            </w:tcBorders>
            <w:shd w:val="clear" w:color="auto" w:fill="D9D9D9" w:themeFill="background1" w:themeFillShade="D9"/>
            <w:noWrap/>
            <w:vAlign w:val="center"/>
          </w:tcPr>
          <w:p w14:paraId="2C2C5AD6"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07D5FC53"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636EA59" w14:textId="77777777" w:rsidR="009E6D61" w:rsidRDefault="00B86CE1">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73C92D26"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487404CA"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73DB6D2" w14:textId="77777777" w:rsidR="009E6D61" w:rsidRDefault="00B86CE1">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559B78BE"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3538E013"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5E88536" w14:textId="77777777" w:rsidR="009E6D61" w:rsidRDefault="00B86CE1">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644B3B90"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68D53D45"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1F90DCB" w14:textId="77777777" w:rsidR="009E6D61" w:rsidRDefault="00B86CE1">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2A931D3B"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4B7C9714"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79C5BED" w14:textId="77777777" w:rsidR="009E6D61" w:rsidRDefault="00B86CE1">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247F8777" w14:textId="77777777" w:rsidR="009E6D61" w:rsidRDefault="00B86CE1">
            <w:pPr>
              <w:jc w:val="right"/>
              <w:cnfStyle w:val="000000000000" w:firstRow="0" w:lastRow="0" w:firstColumn="0" w:lastColumn="0" w:oddVBand="0" w:evenVBand="0" w:oddHBand="0" w:evenHBand="0" w:firstRowFirstColumn="0" w:firstRowLastColumn="0" w:lastRowFirstColumn="0" w:lastRowLastColumn="0"/>
            </w:pPr>
            <w:r>
              <w:t>$0</w:t>
            </w:r>
          </w:p>
        </w:tc>
      </w:tr>
      <w:tr w:rsidR="00903DBB" w14:paraId="719A9F42" w14:textId="77777777" w:rsidTr="00903DB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05BCB29C" w14:textId="77777777" w:rsidR="009E6D61" w:rsidRDefault="00B86CE1">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331CC411" w14:textId="77777777" w:rsidR="009E6D61" w:rsidRDefault="00B86CE1">
            <w:pPr>
              <w:jc w:val="right"/>
              <w:cnfStyle w:val="000000100000" w:firstRow="0" w:lastRow="0" w:firstColumn="0" w:lastColumn="0" w:oddVBand="0" w:evenVBand="0" w:oddHBand="1" w:evenHBand="0" w:firstRowFirstColumn="0" w:firstRowLastColumn="0" w:lastRowFirstColumn="0" w:lastRowLastColumn="0"/>
            </w:pPr>
            <w:r>
              <w:t>$0</w:t>
            </w:r>
          </w:p>
        </w:tc>
      </w:tr>
      <w:tr w:rsidR="00903DBB" w14:paraId="5EAF4BDF" w14:textId="77777777" w:rsidTr="00903DB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53DC9412" w14:textId="77777777" w:rsidR="009E6D61" w:rsidRPr="004143FD" w:rsidRDefault="00B86CE1">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5029625C" w14:textId="77777777" w:rsidR="009E6D61" w:rsidRPr="004143FD" w:rsidRDefault="00B86CE1">
            <w:pPr>
              <w:jc w:val="right"/>
              <w:cnfStyle w:val="000000000000" w:firstRow="0" w:lastRow="0" w:firstColumn="0" w:lastColumn="0" w:oddVBand="0" w:evenVBand="0" w:oddHBand="0" w:evenHBand="0" w:firstRowFirstColumn="0" w:firstRowLastColumn="0" w:lastRowFirstColumn="0" w:lastRowLastColumn="0"/>
              <w:rPr>
                <w:b/>
                <w:bCs/>
              </w:rPr>
            </w:pPr>
            <w:r>
              <w:rPr>
                <w:b/>
                <w:bCs/>
              </w:rPr>
              <w:t>$97,464</w:t>
            </w:r>
          </w:p>
        </w:tc>
      </w:tr>
    </w:tbl>
    <w:p w14:paraId="05FE8BCC" w14:textId="77777777" w:rsidR="009E6D61" w:rsidRDefault="00B86CE1" w:rsidP="000C0E44">
      <w:pPr>
        <w:pStyle w:val="ESBodyText0"/>
        <w:spacing w:before="120" w:line="240" w:lineRule="auto"/>
      </w:pPr>
    </w:p>
    <w:p w14:paraId="1145C629" w14:textId="77777777" w:rsidR="009E6D61" w:rsidRDefault="00B86CE1">
      <w:pPr>
        <w:pStyle w:val="ESBodyText0"/>
        <w:rPr>
          <w:i/>
        </w:rPr>
      </w:pPr>
      <w:r>
        <w:rPr>
          <w:i/>
        </w:rPr>
        <w:t xml:space="preserve">All funds received from the Department, or raised by the school, have been expended, or committed to subsequent years, to support the achievement of </w:t>
      </w:r>
      <w:r>
        <w:rPr>
          <w:i/>
        </w:rPr>
        <w:t>educational outcomes and other operational needs of the school, consistent with Department policies, School Council approvals and the intent/purposes for which funding was provided or raised.</w:t>
      </w:r>
    </w:p>
    <w:sectPr w:rsidR="009E6D61" w:rsidSect="005D27E5">
      <w:headerReference w:type="default" r:id="rId41"/>
      <w:footerReference w:type="default" r:id="rId42"/>
      <w:headerReference w:type="first" r:id="rId43"/>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AA7F0" w14:textId="77777777" w:rsidR="00000000" w:rsidRDefault="00B86CE1">
      <w:pPr>
        <w:spacing w:after="0" w:line="240" w:lineRule="auto"/>
      </w:pPr>
      <w:r>
        <w:separator/>
      </w:r>
    </w:p>
  </w:endnote>
  <w:endnote w:type="continuationSeparator" w:id="0">
    <w:p w14:paraId="0A2FA1A0" w14:textId="77777777" w:rsidR="00000000" w:rsidRDefault="00B8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336B" w14:textId="77777777" w:rsidR="00A66941" w:rsidRDefault="00B86CE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97A0C" w14:textId="77777777" w:rsidR="00A66941" w:rsidRDefault="00B86CE1"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416F1" w14:textId="77777777" w:rsidR="00A66941" w:rsidRPr="003E29B5" w:rsidRDefault="00B86CE1"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14525"/>
      <w:docPartObj>
        <w:docPartGallery w:val="Page Numbers (Bottom of Page)"/>
        <w:docPartUnique/>
      </w:docPartObj>
    </w:sdtPr>
    <w:sdtEndPr>
      <w:rPr>
        <w:noProof/>
      </w:rPr>
    </w:sdtEndPr>
    <w:sdtContent>
      <w:p w14:paraId="4A597FD0" w14:textId="77777777" w:rsidR="005E4B2D" w:rsidRDefault="00B86CE1">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303503"/>
      <w:docPartObj>
        <w:docPartGallery w:val="Page Numbers (Bottom of Page)"/>
        <w:docPartUnique/>
      </w:docPartObj>
    </w:sdtPr>
    <w:sdtEndPr>
      <w:rPr>
        <w:noProof/>
      </w:rPr>
    </w:sdtEndPr>
    <w:sdtContent>
      <w:p w14:paraId="4B8D99AB" w14:textId="77777777" w:rsidR="005E4B2D" w:rsidRDefault="00B86CE1">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246871"/>
      <w:docPartObj>
        <w:docPartGallery w:val="Page Numbers (Bottom of Page)"/>
        <w:docPartUnique/>
      </w:docPartObj>
    </w:sdtPr>
    <w:sdtEndPr>
      <w:rPr>
        <w:noProof/>
      </w:rPr>
    </w:sdtEndPr>
    <w:sdtContent>
      <w:p w14:paraId="6080EA50" w14:textId="77777777" w:rsidR="005E4B2D" w:rsidRDefault="00B86CE1">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BA2A3" w14:textId="77777777" w:rsidR="00000000" w:rsidRDefault="00B86CE1">
      <w:pPr>
        <w:spacing w:after="0" w:line="240" w:lineRule="auto"/>
      </w:pPr>
      <w:r>
        <w:separator/>
      </w:r>
    </w:p>
  </w:footnote>
  <w:footnote w:type="continuationSeparator" w:id="0">
    <w:p w14:paraId="7D9F3B9E" w14:textId="77777777" w:rsidR="00000000" w:rsidRDefault="00B8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6B0A" w14:textId="77777777" w:rsidR="00A66941" w:rsidRDefault="00B86CE1">
    <w:r>
      <w:rPr>
        <w:noProof/>
        <w:lang w:val="en-AU" w:eastAsia="en-AU"/>
      </w:rPr>
      <mc:AlternateContent>
        <mc:Choice Requires="wps">
          <w:drawing>
            <wp:anchor distT="0" distB="0" distL="114300" distR="114300" simplePos="0" relativeHeight="251660288" behindDoc="0" locked="0" layoutInCell="1" allowOverlap="1" wp14:anchorId="48F637A8" wp14:editId="28C20D1C">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04A6AA6" w14:textId="77777777" w:rsidR="00A66941" w:rsidRDefault="00B86CE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8F637A8"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" filled="f" stroked="f">
              <o:lock v:ext="edit" shapetype="t"/>
              <v:textbox style="mso-fit-shape-to-text:t">
                <w:txbxContent>
                  <w:p w14:paraId="204A6AA6" w14:textId="77777777" w:rsidR="00A66941" w:rsidRDefault="00B86CE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9D6B" w14:textId="77777777" w:rsidR="00A66941" w:rsidRDefault="00B86CE1">
    <w:pPr>
      <w:pStyle w:val="Header"/>
    </w:pPr>
    <w:r w:rsidRPr="000C104E">
      <w:rPr>
        <w:noProof/>
        <w:lang w:val="en-AU" w:eastAsia="en-AU"/>
      </w:rPr>
      <w:drawing>
        <wp:anchor distT="0" distB="0" distL="114300" distR="114300" simplePos="0" relativeHeight="251662336" behindDoc="1" locked="0" layoutInCell="1" allowOverlap="1" wp14:anchorId="377DC649" wp14:editId="6F2CB390">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A8CF8FA" w14:textId="77777777" w:rsidR="00A66941" w:rsidRDefault="00B86C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3CBA" w14:textId="77777777" w:rsidR="00A66941" w:rsidRDefault="00B86CE1">
    <w:r>
      <w:rPr>
        <w:noProof/>
        <w:lang w:val="en-AU" w:eastAsia="en-AU"/>
      </w:rPr>
      <mc:AlternateContent>
        <mc:Choice Requires="wps">
          <w:drawing>
            <wp:anchor distT="0" distB="0" distL="114300" distR="114300" simplePos="0" relativeHeight="251658240" behindDoc="0" locked="0" layoutInCell="1" allowOverlap="1" wp14:anchorId="20F17B5F" wp14:editId="6B16C04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E26F63F" w14:textId="77777777" w:rsidR="00A66941" w:rsidRDefault="00B86CE1"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DCB1" w14:textId="77777777" w:rsidR="005E4B2D" w:rsidRDefault="00B86CE1">
    <w:pPr>
      <w:pStyle w:val="Header"/>
      <w:spacing w:before="240"/>
    </w:pPr>
    <w:r>
      <w:rPr>
        <w:noProof/>
        <w:lang w:val="en-AU" w:eastAsia="en-AU"/>
      </w:rPr>
      <w:drawing>
        <wp:inline distT="0" distB="0" distL="0" distR="0" wp14:anchorId="62DA6829" wp14:editId="6FDAD21F">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Bunyip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33D3" w14:textId="77777777" w:rsidR="005E4B2D" w:rsidRDefault="00B86CE1">
    <w:pPr>
      <w:pStyle w:val="Header"/>
      <w:ind w:left="-993"/>
    </w:pPr>
    <w:r>
      <w:ptab w:relativeTo="margin" w:alignment="left" w:leader="none"/>
    </w:r>
  </w:p>
  <w:p w14:paraId="015DFBD3" w14:textId="77777777" w:rsidR="005E4B2D" w:rsidRDefault="00B86C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9E829" w14:textId="77777777" w:rsidR="005E4B2D" w:rsidRDefault="00B86CE1">
    <w:pPr>
      <w:pStyle w:val="Header0"/>
      <w:spacing w:before="240"/>
    </w:pPr>
    <w:r>
      <w:rPr>
        <w:noProof/>
        <w:lang w:val="en-AU" w:eastAsia="en-AU"/>
      </w:rPr>
      <w:drawing>
        <wp:inline distT="0" distB="0" distL="0" distR="0" wp14:anchorId="38BBD850" wp14:editId="19664204">
          <wp:extent cx="1471910" cy="512445"/>
          <wp:effectExtent l="0" t="0" r="0" b="1905"/>
          <wp:docPr id="1053733713"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Bunyip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9E00E" w14:textId="77777777" w:rsidR="005E4B2D" w:rsidRDefault="00B86CE1">
    <w:pPr>
      <w:pStyle w:val="Header1"/>
      <w:ind w:left="-993"/>
    </w:pPr>
    <w:r>
      <w:ptab w:relativeTo="margin" w:alignment="left" w:leader="none"/>
    </w:r>
  </w:p>
  <w:p w14:paraId="429536C1" w14:textId="77777777" w:rsidR="005E4B2D" w:rsidRDefault="00B86CE1">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1B11" w14:textId="77777777" w:rsidR="005E4B2D" w:rsidRDefault="00B86CE1">
    <w:pPr>
      <w:pStyle w:val="Header"/>
      <w:spacing w:before="240"/>
    </w:pPr>
    <w:r>
      <w:rPr>
        <w:noProof/>
        <w:lang w:val="en-AU" w:eastAsia="en-AU"/>
      </w:rPr>
      <w:drawing>
        <wp:inline distT="0" distB="0" distL="0" distR="0" wp14:anchorId="02FF5BD7" wp14:editId="1972E60E">
          <wp:extent cx="1471910" cy="512445"/>
          <wp:effectExtent l="0" t="0" r="0" b="1905"/>
          <wp:docPr id="845502963"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Bunyip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C785" w14:textId="77777777" w:rsidR="005E4B2D" w:rsidRDefault="00B86CE1">
    <w:pPr>
      <w:pStyle w:val="Header"/>
      <w:ind w:left="-993"/>
    </w:pPr>
    <w:r>
      <w:ptab w:relativeTo="margin" w:alignment="left" w:leader="none"/>
    </w:r>
  </w:p>
  <w:p w14:paraId="17E1FA22" w14:textId="77777777" w:rsidR="005E4B2D" w:rsidRDefault="00B86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F7A51BC">
      <w:start w:val="1"/>
      <w:numFmt w:val="bullet"/>
      <w:lvlText w:val=""/>
      <w:lvlJc w:val="left"/>
      <w:pPr>
        <w:ind w:left="720" w:hanging="360"/>
      </w:pPr>
      <w:rPr>
        <w:rFonts w:ascii="Symbol" w:hAnsi="Symbol" w:hint="default"/>
      </w:rPr>
    </w:lvl>
    <w:lvl w:ilvl="1" w:tplc="020CF9F6" w:tentative="1">
      <w:start w:val="1"/>
      <w:numFmt w:val="bullet"/>
      <w:lvlText w:val="o"/>
      <w:lvlJc w:val="left"/>
      <w:pPr>
        <w:ind w:left="1440" w:hanging="360"/>
      </w:pPr>
      <w:rPr>
        <w:rFonts w:ascii="Courier New" w:hAnsi="Courier New" w:cs="Courier New" w:hint="default"/>
      </w:rPr>
    </w:lvl>
    <w:lvl w:ilvl="2" w:tplc="FE8AAF44" w:tentative="1">
      <w:start w:val="1"/>
      <w:numFmt w:val="bullet"/>
      <w:lvlText w:val=""/>
      <w:lvlJc w:val="left"/>
      <w:pPr>
        <w:ind w:left="2160" w:hanging="360"/>
      </w:pPr>
      <w:rPr>
        <w:rFonts w:ascii="Wingdings" w:hAnsi="Wingdings" w:hint="default"/>
      </w:rPr>
    </w:lvl>
    <w:lvl w:ilvl="3" w:tplc="3DC07832" w:tentative="1">
      <w:start w:val="1"/>
      <w:numFmt w:val="bullet"/>
      <w:lvlText w:val=""/>
      <w:lvlJc w:val="left"/>
      <w:pPr>
        <w:ind w:left="2880" w:hanging="360"/>
      </w:pPr>
      <w:rPr>
        <w:rFonts w:ascii="Symbol" w:hAnsi="Symbol" w:hint="default"/>
      </w:rPr>
    </w:lvl>
    <w:lvl w:ilvl="4" w:tplc="73227128" w:tentative="1">
      <w:start w:val="1"/>
      <w:numFmt w:val="bullet"/>
      <w:lvlText w:val="o"/>
      <w:lvlJc w:val="left"/>
      <w:pPr>
        <w:ind w:left="3600" w:hanging="360"/>
      </w:pPr>
      <w:rPr>
        <w:rFonts w:ascii="Courier New" w:hAnsi="Courier New" w:cs="Courier New" w:hint="default"/>
      </w:rPr>
    </w:lvl>
    <w:lvl w:ilvl="5" w:tplc="9F783946" w:tentative="1">
      <w:start w:val="1"/>
      <w:numFmt w:val="bullet"/>
      <w:lvlText w:val=""/>
      <w:lvlJc w:val="left"/>
      <w:pPr>
        <w:ind w:left="4320" w:hanging="360"/>
      </w:pPr>
      <w:rPr>
        <w:rFonts w:ascii="Wingdings" w:hAnsi="Wingdings" w:hint="default"/>
      </w:rPr>
    </w:lvl>
    <w:lvl w:ilvl="6" w:tplc="867A7B3A" w:tentative="1">
      <w:start w:val="1"/>
      <w:numFmt w:val="bullet"/>
      <w:lvlText w:val=""/>
      <w:lvlJc w:val="left"/>
      <w:pPr>
        <w:ind w:left="5040" w:hanging="360"/>
      </w:pPr>
      <w:rPr>
        <w:rFonts w:ascii="Symbol" w:hAnsi="Symbol" w:hint="default"/>
      </w:rPr>
    </w:lvl>
    <w:lvl w:ilvl="7" w:tplc="EA8EDDA4" w:tentative="1">
      <w:start w:val="1"/>
      <w:numFmt w:val="bullet"/>
      <w:lvlText w:val="o"/>
      <w:lvlJc w:val="left"/>
      <w:pPr>
        <w:ind w:left="5760" w:hanging="360"/>
      </w:pPr>
      <w:rPr>
        <w:rFonts w:ascii="Courier New" w:hAnsi="Courier New" w:cs="Courier New" w:hint="default"/>
      </w:rPr>
    </w:lvl>
    <w:lvl w:ilvl="8" w:tplc="9AC28F80"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87C40370">
      <w:start w:val="1"/>
      <w:numFmt w:val="bullet"/>
      <w:lvlText w:val=""/>
      <w:lvlJc w:val="left"/>
      <w:pPr>
        <w:ind w:left="720" w:hanging="360"/>
      </w:pPr>
      <w:rPr>
        <w:rFonts w:ascii="Symbol" w:hAnsi="Symbol" w:hint="default"/>
      </w:rPr>
    </w:lvl>
    <w:lvl w:ilvl="1" w:tplc="33C21EE8" w:tentative="1">
      <w:start w:val="1"/>
      <w:numFmt w:val="bullet"/>
      <w:lvlText w:val="o"/>
      <w:lvlJc w:val="left"/>
      <w:pPr>
        <w:ind w:left="1440" w:hanging="360"/>
      </w:pPr>
      <w:rPr>
        <w:rFonts w:ascii="Courier New" w:hAnsi="Courier New" w:cs="Courier New" w:hint="default"/>
      </w:rPr>
    </w:lvl>
    <w:lvl w:ilvl="2" w:tplc="1CA08992" w:tentative="1">
      <w:start w:val="1"/>
      <w:numFmt w:val="bullet"/>
      <w:lvlText w:val=""/>
      <w:lvlJc w:val="left"/>
      <w:pPr>
        <w:ind w:left="2160" w:hanging="360"/>
      </w:pPr>
      <w:rPr>
        <w:rFonts w:ascii="Wingdings" w:hAnsi="Wingdings" w:hint="default"/>
      </w:rPr>
    </w:lvl>
    <w:lvl w:ilvl="3" w:tplc="114CF5E6" w:tentative="1">
      <w:start w:val="1"/>
      <w:numFmt w:val="bullet"/>
      <w:lvlText w:val=""/>
      <w:lvlJc w:val="left"/>
      <w:pPr>
        <w:ind w:left="2880" w:hanging="360"/>
      </w:pPr>
      <w:rPr>
        <w:rFonts w:ascii="Symbol" w:hAnsi="Symbol" w:hint="default"/>
      </w:rPr>
    </w:lvl>
    <w:lvl w:ilvl="4" w:tplc="3ED03318" w:tentative="1">
      <w:start w:val="1"/>
      <w:numFmt w:val="bullet"/>
      <w:lvlText w:val="o"/>
      <w:lvlJc w:val="left"/>
      <w:pPr>
        <w:ind w:left="3600" w:hanging="360"/>
      </w:pPr>
      <w:rPr>
        <w:rFonts w:ascii="Courier New" w:hAnsi="Courier New" w:cs="Courier New" w:hint="default"/>
      </w:rPr>
    </w:lvl>
    <w:lvl w:ilvl="5" w:tplc="83E6AB90" w:tentative="1">
      <w:start w:val="1"/>
      <w:numFmt w:val="bullet"/>
      <w:lvlText w:val=""/>
      <w:lvlJc w:val="left"/>
      <w:pPr>
        <w:ind w:left="4320" w:hanging="360"/>
      </w:pPr>
      <w:rPr>
        <w:rFonts w:ascii="Wingdings" w:hAnsi="Wingdings" w:hint="default"/>
      </w:rPr>
    </w:lvl>
    <w:lvl w:ilvl="6" w:tplc="49801AC8" w:tentative="1">
      <w:start w:val="1"/>
      <w:numFmt w:val="bullet"/>
      <w:lvlText w:val=""/>
      <w:lvlJc w:val="left"/>
      <w:pPr>
        <w:ind w:left="5040" w:hanging="360"/>
      </w:pPr>
      <w:rPr>
        <w:rFonts w:ascii="Symbol" w:hAnsi="Symbol" w:hint="default"/>
      </w:rPr>
    </w:lvl>
    <w:lvl w:ilvl="7" w:tplc="A9966420" w:tentative="1">
      <w:start w:val="1"/>
      <w:numFmt w:val="bullet"/>
      <w:lvlText w:val="o"/>
      <w:lvlJc w:val="left"/>
      <w:pPr>
        <w:ind w:left="5760" w:hanging="360"/>
      </w:pPr>
      <w:rPr>
        <w:rFonts w:ascii="Courier New" w:hAnsi="Courier New" w:cs="Courier New" w:hint="default"/>
      </w:rPr>
    </w:lvl>
    <w:lvl w:ilvl="8" w:tplc="96AA7684"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70CEEE78">
      <w:start w:val="1"/>
      <w:numFmt w:val="bullet"/>
      <w:pStyle w:val="ESBulletsinTable"/>
      <w:lvlText w:val=""/>
      <w:lvlJc w:val="left"/>
      <w:pPr>
        <w:ind w:left="360" w:hanging="360"/>
      </w:pPr>
      <w:rPr>
        <w:rFonts w:ascii="Symbol" w:hAnsi="Symbol" w:hint="default"/>
        <w:color w:val="AF272F"/>
      </w:rPr>
    </w:lvl>
    <w:lvl w:ilvl="1" w:tplc="05F28C56">
      <w:start w:val="1"/>
      <w:numFmt w:val="bullet"/>
      <w:pStyle w:val="ESBulletsinTableLevel2"/>
      <w:lvlText w:val="o"/>
      <w:lvlJc w:val="left"/>
      <w:pPr>
        <w:ind w:left="1440" w:hanging="360"/>
      </w:pPr>
      <w:rPr>
        <w:rFonts w:ascii="Courier New" w:hAnsi="Courier New" w:cs="Courier New" w:hint="default"/>
      </w:rPr>
    </w:lvl>
    <w:lvl w:ilvl="2" w:tplc="4A90048E" w:tentative="1">
      <w:start w:val="1"/>
      <w:numFmt w:val="bullet"/>
      <w:lvlText w:val=""/>
      <w:lvlJc w:val="left"/>
      <w:pPr>
        <w:ind w:left="2160" w:hanging="360"/>
      </w:pPr>
      <w:rPr>
        <w:rFonts w:ascii="Wingdings" w:hAnsi="Wingdings" w:hint="default"/>
      </w:rPr>
    </w:lvl>
    <w:lvl w:ilvl="3" w:tplc="26782F5C" w:tentative="1">
      <w:start w:val="1"/>
      <w:numFmt w:val="bullet"/>
      <w:lvlText w:val=""/>
      <w:lvlJc w:val="left"/>
      <w:pPr>
        <w:ind w:left="2880" w:hanging="360"/>
      </w:pPr>
      <w:rPr>
        <w:rFonts w:ascii="Symbol" w:hAnsi="Symbol" w:hint="default"/>
      </w:rPr>
    </w:lvl>
    <w:lvl w:ilvl="4" w:tplc="4978F39E" w:tentative="1">
      <w:start w:val="1"/>
      <w:numFmt w:val="bullet"/>
      <w:lvlText w:val="o"/>
      <w:lvlJc w:val="left"/>
      <w:pPr>
        <w:ind w:left="3600" w:hanging="360"/>
      </w:pPr>
      <w:rPr>
        <w:rFonts w:ascii="Courier New" w:hAnsi="Courier New" w:cs="Courier New" w:hint="default"/>
      </w:rPr>
    </w:lvl>
    <w:lvl w:ilvl="5" w:tplc="AC523F7A" w:tentative="1">
      <w:start w:val="1"/>
      <w:numFmt w:val="bullet"/>
      <w:lvlText w:val=""/>
      <w:lvlJc w:val="left"/>
      <w:pPr>
        <w:ind w:left="4320" w:hanging="360"/>
      </w:pPr>
      <w:rPr>
        <w:rFonts w:ascii="Wingdings" w:hAnsi="Wingdings" w:hint="default"/>
      </w:rPr>
    </w:lvl>
    <w:lvl w:ilvl="6" w:tplc="7C90431A" w:tentative="1">
      <w:start w:val="1"/>
      <w:numFmt w:val="bullet"/>
      <w:lvlText w:val=""/>
      <w:lvlJc w:val="left"/>
      <w:pPr>
        <w:ind w:left="5040" w:hanging="360"/>
      </w:pPr>
      <w:rPr>
        <w:rFonts w:ascii="Symbol" w:hAnsi="Symbol" w:hint="default"/>
      </w:rPr>
    </w:lvl>
    <w:lvl w:ilvl="7" w:tplc="A71A1D86" w:tentative="1">
      <w:start w:val="1"/>
      <w:numFmt w:val="bullet"/>
      <w:lvlText w:val="o"/>
      <w:lvlJc w:val="left"/>
      <w:pPr>
        <w:ind w:left="5760" w:hanging="360"/>
      </w:pPr>
      <w:rPr>
        <w:rFonts w:ascii="Courier New" w:hAnsi="Courier New" w:cs="Courier New" w:hint="default"/>
      </w:rPr>
    </w:lvl>
    <w:lvl w:ilvl="8" w:tplc="E7C87284"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2410EFC2">
      <w:start w:val="1"/>
      <w:numFmt w:val="bullet"/>
      <w:lvlText w:val=""/>
      <w:lvlJc w:val="left"/>
      <w:pPr>
        <w:ind w:left="720" w:hanging="360"/>
      </w:pPr>
      <w:rPr>
        <w:rFonts w:ascii="Symbol" w:hAnsi="Symbol" w:hint="default"/>
      </w:rPr>
    </w:lvl>
    <w:lvl w:ilvl="1" w:tplc="9E884704" w:tentative="1">
      <w:start w:val="1"/>
      <w:numFmt w:val="bullet"/>
      <w:lvlText w:val="o"/>
      <w:lvlJc w:val="left"/>
      <w:pPr>
        <w:ind w:left="1440" w:hanging="360"/>
      </w:pPr>
      <w:rPr>
        <w:rFonts w:ascii="Courier New" w:hAnsi="Courier New" w:cs="Courier New" w:hint="default"/>
      </w:rPr>
    </w:lvl>
    <w:lvl w:ilvl="2" w:tplc="ED1863CC" w:tentative="1">
      <w:start w:val="1"/>
      <w:numFmt w:val="bullet"/>
      <w:lvlText w:val=""/>
      <w:lvlJc w:val="left"/>
      <w:pPr>
        <w:ind w:left="2160" w:hanging="360"/>
      </w:pPr>
      <w:rPr>
        <w:rFonts w:ascii="Wingdings" w:hAnsi="Wingdings" w:hint="default"/>
      </w:rPr>
    </w:lvl>
    <w:lvl w:ilvl="3" w:tplc="1068BFB2" w:tentative="1">
      <w:start w:val="1"/>
      <w:numFmt w:val="bullet"/>
      <w:lvlText w:val=""/>
      <w:lvlJc w:val="left"/>
      <w:pPr>
        <w:ind w:left="2880" w:hanging="360"/>
      </w:pPr>
      <w:rPr>
        <w:rFonts w:ascii="Symbol" w:hAnsi="Symbol" w:hint="default"/>
      </w:rPr>
    </w:lvl>
    <w:lvl w:ilvl="4" w:tplc="BBBCCDCA" w:tentative="1">
      <w:start w:val="1"/>
      <w:numFmt w:val="bullet"/>
      <w:lvlText w:val="o"/>
      <w:lvlJc w:val="left"/>
      <w:pPr>
        <w:ind w:left="3600" w:hanging="360"/>
      </w:pPr>
      <w:rPr>
        <w:rFonts w:ascii="Courier New" w:hAnsi="Courier New" w:cs="Courier New" w:hint="default"/>
      </w:rPr>
    </w:lvl>
    <w:lvl w:ilvl="5" w:tplc="43E896B6" w:tentative="1">
      <w:start w:val="1"/>
      <w:numFmt w:val="bullet"/>
      <w:lvlText w:val=""/>
      <w:lvlJc w:val="left"/>
      <w:pPr>
        <w:ind w:left="4320" w:hanging="360"/>
      </w:pPr>
      <w:rPr>
        <w:rFonts w:ascii="Wingdings" w:hAnsi="Wingdings" w:hint="default"/>
      </w:rPr>
    </w:lvl>
    <w:lvl w:ilvl="6" w:tplc="4D7261E8" w:tentative="1">
      <w:start w:val="1"/>
      <w:numFmt w:val="bullet"/>
      <w:lvlText w:val=""/>
      <w:lvlJc w:val="left"/>
      <w:pPr>
        <w:ind w:left="5040" w:hanging="360"/>
      </w:pPr>
      <w:rPr>
        <w:rFonts w:ascii="Symbol" w:hAnsi="Symbol" w:hint="default"/>
      </w:rPr>
    </w:lvl>
    <w:lvl w:ilvl="7" w:tplc="9168DA2C" w:tentative="1">
      <w:start w:val="1"/>
      <w:numFmt w:val="bullet"/>
      <w:lvlText w:val="o"/>
      <w:lvlJc w:val="left"/>
      <w:pPr>
        <w:ind w:left="5760" w:hanging="360"/>
      </w:pPr>
      <w:rPr>
        <w:rFonts w:ascii="Courier New" w:hAnsi="Courier New" w:cs="Courier New" w:hint="default"/>
      </w:rPr>
    </w:lvl>
    <w:lvl w:ilvl="8" w:tplc="88A6E5AA"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977844A2">
      <w:start w:val="1"/>
      <w:numFmt w:val="bullet"/>
      <w:lvlText w:val=""/>
      <w:lvlJc w:val="left"/>
      <w:pPr>
        <w:ind w:left="180" w:hanging="360"/>
      </w:pPr>
      <w:rPr>
        <w:rFonts w:ascii="Symbol" w:hAnsi="Symbol" w:hint="default"/>
      </w:rPr>
    </w:lvl>
    <w:lvl w:ilvl="1" w:tplc="63D69298" w:tentative="1">
      <w:start w:val="1"/>
      <w:numFmt w:val="bullet"/>
      <w:lvlText w:val="o"/>
      <w:lvlJc w:val="left"/>
      <w:pPr>
        <w:ind w:left="900" w:hanging="360"/>
      </w:pPr>
      <w:rPr>
        <w:rFonts w:ascii="Courier New" w:hAnsi="Courier New" w:cs="Courier New" w:hint="default"/>
      </w:rPr>
    </w:lvl>
    <w:lvl w:ilvl="2" w:tplc="3CBE8DA2" w:tentative="1">
      <w:start w:val="1"/>
      <w:numFmt w:val="bullet"/>
      <w:lvlText w:val=""/>
      <w:lvlJc w:val="left"/>
      <w:pPr>
        <w:ind w:left="1620" w:hanging="360"/>
      </w:pPr>
      <w:rPr>
        <w:rFonts w:ascii="Wingdings" w:hAnsi="Wingdings" w:hint="default"/>
      </w:rPr>
    </w:lvl>
    <w:lvl w:ilvl="3" w:tplc="00063458" w:tentative="1">
      <w:start w:val="1"/>
      <w:numFmt w:val="bullet"/>
      <w:lvlText w:val=""/>
      <w:lvlJc w:val="left"/>
      <w:pPr>
        <w:ind w:left="2340" w:hanging="360"/>
      </w:pPr>
      <w:rPr>
        <w:rFonts w:ascii="Symbol" w:hAnsi="Symbol" w:hint="default"/>
      </w:rPr>
    </w:lvl>
    <w:lvl w:ilvl="4" w:tplc="864809C2" w:tentative="1">
      <w:start w:val="1"/>
      <w:numFmt w:val="bullet"/>
      <w:lvlText w:val="o"/>
      <w:lvlJc w:val="left"/>
      <w:pPr>
        <w:ind w:left="3060" w:hanging="360"/>
      </w:pPr>
      <w:rPr>
        <w:rFonts w:ascii="Courier New" w:hAnsi="Courier New" w:cs="Courier New" w:hint="default"/>
      </w:rPr>
    </w:lvl>
    <w:lvl w:ilvl="5" w:tplc="D9564D60" w:tentative="1">
      <w:start w:val="1"/>
      <w:numFmt w:val="bullet"/>
      <w:lvlText w:val=""/>
      <w:lvlJc w:val="left"/>
      <w:pPr>
        <w:ind w:left="3780" w:hanging="360"/>
      </w:pPr>
      <w:rPr>
        <w:rFonts w:ascii="Wingdings" w:hAnsi="Wingdings" w:hint="default"/>
      </w:rPr>
    </w:lvl>
    <w:lvl w:ilvl="6" w:tplc="E828E95E" w:tentative="1">
      <w:start w:val="1"/>
      <w:numFmt w:val="bullet"/>
      <w:lvlText w:val=""/>
      <w:lvlJc w:val="left"/>
      <w:pPr>
        <w:ind w:left="4500" w:hanging="360"/>
      </w:pPr>
      <w:rPr>
        <w:rFonts w:ascii="Symbol" w:hAnsi="Symbol" w:hint="default"/>
      </w:rPr>
    </w:lvl>
    <w:lvl w:ilvl="7" w:tplc="3B1611A0" w:tentative="1">
      <w:start w:val="1"/>
      <w:numFmt w:val="bullet"/>
      <w:lvlText w:val="o"/>
      <w:lvlJc w:val="left"/>
      <w:pPr>
        <w:ind w:left="5220" w:hanging="360"/>
      </w:pPr>
      <w:rPr>
        <w:rFonts w:ascii="Courier New" w:hAnsi="Courier New" w:cs="Courier New" w:hint="default"/>
      </w:rPr>
    </w:lvl>
    <w:lvl w:ilvl="8" w:tplc="838C2480"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D70C7974">
      <w:start w:val="1"/>
      <w:numFmt w:val="bullet"/>
      <w:lvlText w:val=""/>
      <w:lvlJc w:val="left"/>
      <w:pPr>
        <w:ind w:left="720" w:hanging="360"/>
      </w:pPr>
      <w:rPr>
        <w:rFonts w:ascii="Symbol" w:hAnsi="Symbol" w:hint="default"/>
      </w:rPr>
    </w:lvl>
    <w:lvl w:ilvl="1" w:tplc="F96C2D8C" w:tentative="1">
      <w:start w:val="1"/>
      <w:numFmt w:val="bullet"/>
      <w:lvlText w:val="o"/>
      <w:lvlJc w:val="left"/>
      <w:pPr>
        <w:ind w:left="1440" w:hanging="360"/>
      </w:pPr>
      <w:rPr>
        <w:rFonts w:ascii="Courier New" w:hAnsi="Courier New" w:cs="Courier New" w:hint="default"/>
      </w:rPr>
    </w:lvl>
    <w:lvl w:ilvl="2" w:tplc="CDC218D0" w:tentative="1">
      <w:start w:val="1"/>
      <w:numFmt w:val="bullet"/>
      <w:lvlText w:val=""/>
      <w:lvlJc w:val="left"/>
      <w:pPr>
        <w:ind w:left="2160" w:hanging="360"/>
      </w:pPr>
      <w:rPr>
        <w:rFonts w:ascii="Wingdings" w:hAnsi="Wingdings" w:hint="default"/>
      </w:rPr>
    </w:lvl>
    <w:lvl w:ilvl="3" w:tplc="638C56EA" w:tentative="1">
      <w:start w:val="1"/>
      <w:numFmt w:val="bullet"/>
      <w:lvlText w:val=""/>
      <w:lvlJc w:val="left"/>
      <w:pPr>
        <w:ind w:left="2880" w:hanging="360"/>
      </w:pPr>
      <w:rPr>
        <w:rFonts w:ascii="Symbol" w:hAnsi="Symbol" w:hint="default"/>
      </w:rPr>
    </w:lvl>
    <w:lvl w:ilvl="4" w:tplc="D71AA2D4" w:tentative="1">
      <w:start w:val="1"/>
      <w:numFmt w:val="bullet"/>
      <w:lvlText w:val="o"/>
      <w:lvlJc w:val="left"/>
      <w:pPr>
        <w:ind w:left="3600" w:hanging="360"/>
      </w:pPr>
      <w:rPr>
        <w:rFonts w:ascii="Courier New" w:hAnsi="Courier New" w:cs="Courier New" w:hint="default"/>
      </w:rPr>
    </w:lvl>
    <w:lvl w:ilvl="5" w:tplc="16CCE9F0" w:tentative="1">
      <w:start w:val="1"/>
      <w:numFmt w:val="bullet"/>
      <w:lvlText w:val=""/>
      <w:lvlJc w:val="left"/>
      <w:pPr>
        <w:ind w:left="4320" w:hanging="360"/>
      </w:pPr>
      <w:rPr>
        <w:rFonts w:ascii="Wingdings" w:hAnsi="Wingdings" w:hint="default"/>
      </w:rPr>
    </w:lvl>
    <w:lvl w:ilvl="6" w:tplc="617AE4DA" w:tentative="1">
      <w:start w:val="1"/>
      <w:numFmt w:val="bullet"/>
      <w:lvlText w:val=""/>
      <w:lvlJc w:val="left"/>
      <w:pPr>
        <w:ind w:left="5040" w:hanging="360"/>
      </w:pPr>
      <w:rPr>
        <w:rFonts w:ascii="Symbol" w:hAnsi="Symbol" w:hint="default"/>
      </w:rPr>
    </w:lvl>
    <w:lvl w:ilvl="7" w:tplc="4634C734" w:tentative="1">
      <w:start w:val="1"/>
      <w:numFmt w:val="bullet"/>
      <w:lvlText w:val="o"/>
      <w:lvlJc w:val="left"/>
      <w:pPr>
        <w:ind w:left="5760" w:hanging="360"/>
      </w:pPr>
      <w:rPr>
        <w:rFonts w:ascii="Courier New" w:hAnsi="Courier New" w:cs="Courier New" w:hint="default"/>
      </w:rPr>
    </w:lvl>
    <w:lvl w:ilvl="8" w:tplc="AB4CF2B0"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917E24C8">
      <w:start w:val="1"/>
      <w:numFmt w:val="bullet"/>
      <w:lvlText w:val=""/>
      <w:lvlJc w:val="left"/>
      <w:pPr>
        <w:ind w:left="180" w:hanging="360"/>
      </w:pPr>
      <w:rPr>
        <w:rFonts w:ascii="Symbol" w:hAnsi="Symbol" w:hint="default"/>
      </w:rPr>
    </w:lvl>
    <w:lvl w:ilvl="1" w:tplc="98823EE4" w:tentative="1">
      <w:start w:val="1"/>
      <w:numFmt w:val="bullet"/>
      <w:lvlText w:val="o"/>
      <w:lvlJc w:val="left"/>
      <w:pPr>
        <w:ind w:left="900" w:hanging="360"/>
      </w:pPr>
      <w:rPr>
        <w:rFonts w:ascii="Courier New" w:hAnsi="Courier New" w:cs="Courier New" w:hint="default"/>
      </w:rPr>
    </w:lvl>
    <w:lvl w:ilvl="2" w:tplc="103E56FA" w:tentative="1">
      <w:start w:val="1"/>
      <w:numFmt w:val="bullet"/>
      <w:lvlText w:val=""/>
      <w:lvlJc w:val="left"/>
      <w:pPr>
        <w:ind w:left="1620" w:hanging="360"/>
      </w:pPr>
      <w:rPr>
        <w:rFonts w:ascii="Wingdings" w:hAnsi="Wingdings" w:hint="default"/>
      </w:rPr>
    </w:lvl>
    <w:lvl w:ilvl="3" w:tplc="13B699C4" w:tentative="1">
      <w:start w:val="1"/>
      <w:numFmt w:val="bullet"/>
      <w:lvlText w:val=""/>
      <w:lvlJc w:val="left"/>
      <w:pPr>
        <w:ind w:left="2340" w:hanging="360"/>
      </w:pPr>
      <w:rPr>
        <w:rFonts w:ascii="Symbol" w:hAnsi="Symbol" w:hint="default"/>
      </w:rPr>
    </w:lvl>
    <w:lvl w:ilvl="4" w:tplc="6AAE2C62" w:tentative="1">
      <w:start w:val="1"/>
      <w:numFmt w:val="bullet"/>
      <w:lvlText w:val="o"/>
      <w:lvlJc w:val="left"/>
      <w:pPr>
        <w:ind w:left="3060" w:hanging="360"/>
      </w:pPr>
      <w:rPr>
        <w:rFonts w:ascii="Courier New" w:hAnsi="Courier New" w:cs="Courier New" w:hint="default"/>
      </w:rPr>
    </w:lvl>
    <w:lvl w:ilvl="5" w:tplc="2320D75A" w:tentative="1">
      <w:start w:val="1"/>
      <w:numFmt w:val="bullet"/>
      <w:lvlText w:val=""/>
      <w:lvlJc w:val="left"/>
      <w:pPr>
        <w:ind w:left="3780" w:hanging="360"/>
      </w:pPr>
      <w:rPr>
        <w:rFonts w:ascii="Wingdings" w:hAnsi="Wingdings" w:hint="default"/>
      </w:rPr>
    </w:lvl>
    <w:lvl w:ilvl="6" w:tplc="58F65E5E" w:tentative="1">
      <w:start w:val="1"/>
      <w:numFmt w:val="bullet"/>
      <w:lvlText w:val=""/>
      <w:lvlJc w:val="left"/>
      <w:pPr>
        <w:ind w:left="4500" w:hanging="360"/>
      </w:pPr>
      <w:rPr>
        <w:rFonts w:ascii="Symbol" w:hAnsi="Symbol" w:hint="default"/>
      </w:rPr>
    </w:lvl>
    <w:lvl w:ilvl="7" w:tplc="A96870FE" w:tentative="1">
      <w:start w:val="1"/>
      <w:numFmt w:val="bullet"/>
      <w:lvlText w:val="o"/>
      <w:lvlJc w:val="left"/>
      <w:pPr>
        <w:ind w:left="5220" w:hanging="360"/>
      </w:pPr>
      <w:rPr>
        <w:rFonts w:ascii="Courier New" w:hAnsi="Courier New" w:cs="Courier New" w:hint="default"/>
      </w:rPr>
    </w:lvl>
    <w:lvl w:ilvl="8" w:tplc="57B4FCCC"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98D6F2E0">
      <w:start w:val="1"/>
      <w:numFmt w:val="bullet"/>
      <w:lvlText w:val=""/>
      <w:lvlJc w:val="left"/>
      <w:pPr>
        <w:ind w:left="720" w:hanging="360"/>
      </w:pPr>
      <w:rPr>
        <w:rFonts w:ascii="Symbol" w:hAnsi="Symbol" w:hint="default"/>
      </w:rPr>
    </w:lvl>
    <w:lvl w:ilvl="1" w:tplc="04966C90" w:tentative="1">
      <w:start w:val="1"/>
      <w:numFmt w:val="bullet"/>
      <w:lvlText w:val="o"/>
      <w:lvlJc w:val="left"/>
      <w:pPr>
        <w:ind w:left="1440" w:hanging="360"/>
      </w:pPr>
      <w:rPr>
        <w:rFonts w:ascii="Courier New" w:hAnsi="Courier New" w:cs="Courier New" w:hint="default"/>
      </w:rPr>
    </w:lvl>
    <w:lvl w:ilvl="2" w:tplc="64D25854" w:tentative="1">
      <w:start w:val="1"/>
      <w:numFmt w:val="bullet"/>
      <w:lvlText w:val=""/>
      <w:lvlJc w:val="left"/>
      <w:pPr>
        <w:ind w:left="2160" w:hanging="360"/>
      </w:pPr>
      <w:rPr>
        <w:rFonts w:ascii="Wingdings" w:hAnsi="Wingdings" w:hint="default"/>
      </w:rPr>
    </w:lvl>
    <w:lvl w:ilvl="3" w:tplc="0ECE6DB6" w:tentative="1">
      <w:start w:val="1"/>
      <w:numFmt w:val="bullet"/>
      <w:lvlText w:val=""/>
      <w:lvlJc w:val="left"/>
      <w:pPr>
        <w:ind w:left="2880" w:hanging="360"/>
      </w:pPr>
      <w:rPr>
        <w:rFonts w:ascii="Symbol" w:hAnsi="Symbol" w:hint="default"/>
      </w:rPr>
    </w:lvl>
    <w:lvl w:ilvl="4" w:tplc="6678A594" w:tentative="1">
      <w:start w:val="1"/>
      <w:numFmt w:val="bullet"/>
      <w:lvlText w:val="o"/>
      <w:lvlJc w:val="left"/>
      <w:pPr>
        <w:ind w:left="3600" w:hanging="360"/>
      </w:pPr>
      <w:rPr>
        <w:rFonts w:ascii="Courier New" w:hAnsi="Courier New" w:cs="Courier New" w:hint="default"/>
      </w:rPr>
    </w:lvl>
    <w:lvl w:ilvl="5" w:tplc="8C121482" w:tentative="1">
      <w:start w:val="1"/>
      <w:numFmt w:val="bullet"/>
      <w:lvlText w:val=""/>
      <w:lvlJc w:val="left"/>
      <w:pPr>
        <w:ind w:left="4320" w:hanging="360"/>
      </w:pPr>
      <w:rPr>
        <w:rFonts w:ascii="Wingdings" w:hAnsi="Wingdings" w:hint="default"/>
      </w:rPr>
    </w:lvl>
    <w:lvl w:ilvl="6" w:tplc="16921FE0" w:tentative="1">
      <w:start w:val="1"/>
      <w:numFmt w:val="bullet"/>
      <w:lvlText w:val=""/>
      <w:lvlJc w:val="left"/>
      <w:pPr>
        <w:ind w:left="5040" w:hanging="360"/>
      </w:pPr>
      <w:rPr>
        <w:rFonts w:ascii="Symbol" w:hAnsi="Symbol" w:hint="default"/>
      </w:rPr>
    </w:lvl>
    <w:lvl w:ilvl="7" w:tplc="31B2033C" w:tentative="1">
      <w:start w:val="1"/>
      <w:numFmt w:val="bullet"/>
      <w:lvlText w:val="o"/>
      <w:lvlJc w:val="left"/>
      <w:pPr>
        <w:ind w:left="5760" w:hanging="360"/>
      </w:pPr>
      <w:rPr>
        <w:rFonts w:ascii="Courier New" w:hAnsi="Courier New" w:cs="Courier New" w:hint="default"/>
      </w:rPr>
    </w:lvl>
    <w:lvl w:ilvl="8" w:tplc="5D342D1C"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C732594A">
      <w:start w:val="1"/>
      <w:numFmt w:val="bullet"/>
      <w:lvlText w:val=""/>
      <w:lvlJc w:val="left"/>
      <w:pPr>
        <w:ind w:left="720" w:hanging="360"/>
      </w:pPr>
      <w:rPr>
        <w:rFonts w:ascii="Symbol" w:hAnsi="Symbol" w:hint="default"/>
      </w:rPr>
    </w:lvl>
    <w:lvl w:ilvl="1" w:tplc="E08E68A2">
      <w:start w:val="1"/>
      <w:numFmt w:val="bullet"/>
      <w:lvlText w:val="o"/>
      <w:lvlJc w:val="left"/>
      <w:pPr>
        <w:ind w:left="1440" w:hanging="360"/>
      </w:pPr>
      <w:rPr>
        <w:rFonts w:ascii="Courier New" w:hAnsi="Courier New" w:cs="Courier New" w:hint="default"/>
      </w:rPr>
    </w:lvl>
    <w:lvl w:ilvl="2" w:tplc="875C6DAE" w:tentative="1">
      <w:start w:val="1"/>
      <w:numFmt w:val="bullet"/>
      <w:lvlText w:val=""/>
      <w:lvlJc w:val="left"/>
      <w:pPr>
        <w:ind w:left="2160" w:hanging="360"/>
      </w:pPr>
      <w:rPr>
        <w:rFonts w:ascii="Wingdings" w:hAnsi="Wingdings" w:hint="default"/>
      </w:rPr>
    </w:lvl>
    <w:lvl w:ilvl="3" w:tplc="290C25EA" w:tentative="1">
      <w:start w:val="1"/>
      <w:numFmt w:val="bullet"/>
      <w:lvlText w:val=""/>
      <w:lvlJc w:val="left"/>
      <w:pPr>
        <w:ind w:left="2880" w:hanging="360"/>
      </w:pPr>
      <w:rPr>
        <w:rFonts w:ascii="Symbol" w:hAnsi="Symbol" w:hint="default"/>
      </w:rPr>
    </w:lvl>
    <w:lvl w:ilvl="4" w:tplc="CED686F0" w:tentative="1">
      <w:start w:val="1"/>
      <w:numFmt w:val="bullet"/>
      <w:lvlText w:val="o"/>
      <w:lvlJc w:val="left"/>
      <w:pPr>
        <w:ind w:left="3600" w:hanging="360"/>
      </w:pPr>
      <w:rPr>
        <w:rFonts w:ascii="Courier New" w:hAnsi="Courier New" w:cs="Courier New" w:hint="default"/>
      </w:rPr>
    </w:lvl>
    <w:lvl w:ilvl="5" w:tplc="41304640" w:tentative="1">
      <w:start w:val="1"/>
      <w:numFmt w:val="bullet"/>
      <w:lvlText w:val=""/>
      <w:lvlJc w:val="left"/>
      <w:pPr>
        <w:ind w:left="4320" w:hanging="360"/>
      </w:pPr>
      <w:rPr>
        <w:rFonts w:ascii="Wingdings" w:hAnsi="Wingdings" w:hint="default"/>
      </w:rPr>
    </w:lvl>
    <w:lvl w:ilvl="6" w:tplc="732CFF5E" w:tentative="1">
      <w:start w:val="1"/>
      <w:numFmt w:val="bullet"/>
      <w:lvlText w:val=""/>
      <w:lvlJc w:val="left"/>
      <w:pPr>
        <w:ind w:left="5040" w:hanging="360"/>
      </w:pPr>
      <w:rPr>
        <w:rFonts w:ascii="Symbol" w:hAnsi="Symbol" w:hint="default"/>
      </w:rPr>
    </w:lvl>
    <w:lvl w:ilvl="7" w:tplc="6134764E" w:tentative="1">
      <w:start w:val="1"/>
      <w:numFmt w:val="bullet"/>
      <w:lvlText w:val="o"/>
      <w:lvlJc w:val="left"/>
      <w:pPr>
        <w:ind w:left="5760" w:hanging="360"/>
      </w:pPr>
      <w:rPr>
        <w:rFonts w:ascii="Courier New" w:hAnsi="Courier New" w:cs="Courier New" w:hint="default"/>
      </w:rPr>
    </w:lvl>
    <w:lvl w:ilvl="8" w:tplc="22B25158"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C60C480E">
      <w:start w:val="1"/>
      <w:numFmt w:val="bullet"/>
      <w:lvlText w:val=""/>
      <w:lvlJc w:val="left"/>
      <w:pPr>
        <w:ind w:left="1440" w:hanging="360"/>
      </w:pPr>
      <w:rPr>
        <w:rFonts w:ascii="Symbol" w:hAnsi="Symbol" w:hint="default"/>
      </w:rPr>
    </w:lvl>
    <w:lvl w:ilvl="1" w:tplc="B264198A" w:tentative="1">
      <w:start w:val="1"/>
      <w:numFmt w:val="bullet"/>
      <w:lvlText w:val="o"/>
      <w:lvlJc w:val="left"/>
      <w:pPr>
        <w:ind w:left="2160" w:hanging="360"/>
      </w:pPr>
      <w:rPr>
        <w:rFonts w:ascii="Courier New" w:hAnsi="Courier New" w:cs="Courier New" w:hint="default"/>
      </w:rPr>
    </w:lvl>
    <w:lvl w:ilvl="2" w:tplc="04687980" w:tentative="1">
      <w:start w:val="1"/>
      <w:numFmt w:val="bullet"/>
      <w:lvlText w:val=""/>
      <w:lvlJc w:val="left"/>
      <w:pPr>
        <w:ind w:left="2880" w:hanging="360"/>
      </w:pPr>
      <w:rPr>
        <w:rFonts w:ascii="Wingdings" w:hAnsi="Wingdings" w:hint="default"/>
      </w:rPr>
    </w:lvl>
    <w:lvl w:ilvl="3" w:tplc="C47E8E72" w:tentative="1">
      <w:start w:val="1"/>
      <w:numFmt w:val="bullet"/>
      <w:lvlText w:val=""/>
      <w:lvlJc w:val="left"/>
      <w:pPr>
        <w:ind w:left="3600" w:hanging="360"/>
      </w:pPr>
      <w:rPr>
        <w:rFonts w:ascii="Symbol" w:hAnsi="Symbol" w:hint="default"/>
      </w:rPr>
    </w:lvl>
    <w:lvl w:ilvl="4" w:tplc="38C2D5D4" w:tentative="1">
      <w:start w:val="1"/>
      <w:numFmt w:val="bullet"/>
      <w:lvlText w:val="o"/>
      <w:lvlJc w:val="left"/>
      <w:pPr>
        <w:ind w:left="4320" w:hanging="360"/>
      </w:pPr>
      <w:rPr>
        <w:rFonts w:ascii="Courier New" w:hAnsi="Courier New" w:cs="Courier New" w:hint="default"/>
      </w:rPr>
    </w:lvl>
    <w:lvl w:ilvl="5" w:tplc="B0845418" w:tentative="1">
      <w:start w:val="1"/>
      <w:numFmt w:val="bullet"/>
      <w:lvlText w:val=""/>
      <w:lvlJc w:val="left"/>
      <w:pPr>
        <w:ind w:left="5040" w:hanging="360"/>
      </w:pPr>
      <w:rPr>
        <w:rFonts w:ascii="Wingdings" w:hAnsi="Wingdings" w:hint="default"/>
      </w:rPr>
    </w:lvl>
    <w:lvl w:ilvl="6" w:tplc="A0BA8CC6" w:tentative="1">
      <w:start w:val="1"/>
      <w:numFmt w:val="bullet"/>
      <w:lvlText w:val=""/>
      <w:lvlJc w:val="left"/>
      <w:pPr>
        <w:ind w:left="5760" w:hanging="360"/>
      </w:pPr>
      <w:rPr>
        <w:rFonts w:ascii="Symbol" w:hAnsi="Symbol" w:hint="default"/>
      </w:rPr>
    </w:lvl>
    <w:lvl w:ilvl="7" w:tplc="167E4F7E" w:tentative="1">
      <w:start w:val="1"/>
      <w:numFmt w:val="bullet"/>
      <w:lvlText w:val="o"/>
      <w:lvlJc w:val="left"/>
      <w:pPr>
        <w:ind w:left="6480" w:hanging="360"/>
      </w:pPr>
      <w:rPr>
        <w:rFonts w:ascii="Courier New" w:hAnsi="Courier New" w:cs="Courier New" w:hint="default"/>
      </w:rPr>
    </w:lvl>
    <w:lvl w:ilvl="8" w:tplc="042AFDB0"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FDBEF178">
      <w:start w:val="1"/>
      <w:numFmt w:val="decimal"/>
      <w:lvlText w:val="(%1)"/>
      <w:lvlJc w:val="left"/>
      <w:pPr>
        <w:ind w:left="360" w:hanging="360"/>
      </w:pPr>
      <w:rPr>
        <w:rFonts w:hint="default"/>
      </w:rPr>
    </w:lvl>
    <w:lvl w:ilvl="1" w:tplc="52EEE7A0" w:tentative="1">
      <w:start w:val="1"/>
      <w:numFmt w:val="lowerLetter"/>
      <w:lvlText w:val="%2."/>
      <w:lvlJc w:val="left"/>
      <w:pPr>
        <w:ind w:left="1080" w:hanging="360"/>
      </w:pPr>
    </w:lvl>
    <w:lvl w:ilvl="2" w:tplc="9DF8CC54" w:tentative="1">
      <w:start w:val="1"/>
      <w:numFmt w:val="lowerRoman"/>
      <w:lvlText w:val="%3."/>
      <w:lvlJc w:val="right"/>
      <w:pPr>
        <w:ind w:left="1800" w:hanging="180"/>
      </w:pPr>
    </w:lvl>
    <w:lvl w:ilvl="3" w:tplc="59E86ED0" w:tentative="1">
      <w:start w:val="1"/>
      <w:numFmt w:val="decimal"/>
      <w:lvlText w:val="%4."/>
      <w:lvlJc w:val="left"/>
      <w:pPr>
        <w:ind w:left="2520" w:hanging="360"/>
      </w:pPr>
    </w:lvl>
    <w:lvl w:ilvl="4" w:tplc="C0F85EB4" w:tentative="1">
      <w:start w:val="1"/>
      <w:numFmt w:val="lowerLetter"/>
      <w:lvlText w:val="%5."/>
      <w:lvlJc w:val="left"/>
      <w:pPr>
        <w:ind w:left="3240" w:hanging="360"/>
      </w:pPr>
    </w:lvl>
    <w:lvl w:ilvl="5" w:tplc="73785896" w:tentative="1">
      <w:start w:val="1"/>
      <w:numFmt w:val="lowerRoman"/>
      <w:lvlText w:val="%6."/>
      <w:lvlJc w:val="right"/>
      <w:pPr>
        <w:ind w:left="3960" w:hanging="180"/>
      </w:pPr>
    </w:lvl>
    <w:lvl w:ilvl="6" w:tplc="CA1669CC" w:tentative="1">
      <w:start w:val="1"/>
      <w:numFmt w:val="decimal"/>
      <w:lvlText w:val="%7."/>
      <w:lvlJc w:val="left"/>
      <w:pPr>
        <w:ind w:left="4680" w:hanging="360"/>
      </w:pPr>
    </w:lvl>
    <w:lvl w:ilvl="7" w:tplc="1E2CCD36" w:tentative="1">
      <w:start w:val="1"/>
      <w:numFmt w:val="lowerLetter"/>
      <w:lvlText w:val="%8."/>
      <w:lvlJc w:val="left"/>
      <w:pPr>
        <w:ind w:left="5400" w:hanging="360"/>
      </w:pPr>
    </w:lvl>
    <w:lvl w:ilvl="8" w:tplc="2F0C4C50"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stylePaneSortMethod w:val="0000"/>
  <w:mailMerge>
    <w:mainDocumentType w:val="formLetters"/>
    <w:dataType w:val="textFile"/>
    <w:activeRecord w:val="-1"/>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BB"/>
    <w:rsid w:val="00903DBB"/>
    <w:rsid w:val="00B8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25F6D0"/>
  <w15:docId w15:val="{645E4BB6-A393-6A40-946E-0C567055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chart" Target="charts/chart11.xml"/><Relationship Id="rId21" Type="http://schemas.openxmlformats.org/officeDocument/2006/relationships/header" Target="header3.xml"/><Relationship Id="rId34" Type="http://schemas.openxmlformats.org/officeDocument/2006/relationships/chart" Target="charts/chart6.xm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chart" Target="charts/chart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file:///Users/taylascheele/Downloads/www.bunyipps.vic.edu.au" TargetMode="External"/><Relationship Id="rId33" Type="http://schemas.openxmlformats.org/officeDocument/2006/relationships/chart" Target="charts/chart5.xml"/><Relationship Id="rId38" Type="http://schemas.openxmlformats.org/officeDocument/2006/relationships/chart" Target="charts/chart10.xml"/><Relationship Id="rId20" Type="http://schemas.openxmlformats.org/officeDocument/2006/relationships/footer" Target="footer2.xml"/><Relationship Id="rId41"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144-B847-B1C9-4FEC4A3F86A7}"/>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0144-B847-B1C9-4FEC4A3F86A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0.748</c:v>
                </c:pt>
                <c:pt idx="1">
                  <c:v>0.81799999999999995</c:v>
                </c:pt>
              </c:numCache>
            </c:numRef>
          </c:val>
          <c:extLst>
            <c:ext xmlns:c16="http://schemas.microsoft.com/office/drawing/2014/chart" uri="{C3380CC4-5D6E-409C-BE32-E72D297353CC}">
              <c16:uniqueId val="{00000004-0144-B847-B1C9-4FEC4A3F86A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FFB-6F44-A4AD-7BA8F7ACAE74}"/>
              </c:ext>
            </c:extLst>
          </c:dPt>
          <c:dPt>
            <c:idx val="1"/>
            <c:invertIfNegative val="0"/>
            <c:bubble3D val="0"/>
            <c:spPr>
              <a:solidFill>
                <a:srgbClr val="7030A0"/>
              </a:solidFill>
              <a:ln>
                <a:noFill/>
              </a:ln>
            </c:spPr>
            <c:extLst>
              <c:ext xmlns:c16="http://schemas.microsoft.com/office/drawing/2014/chart" uri="{C3380CC4-5D6E-409C-BE32-E72D297353CC}">
                <c16:uniqueId val="{00000003-CFFB-6F44-A4AD-7BA8F7ACAE7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FFB-6F44-A4AD-7BA8F7ACAE7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22.729092000000001</c:v>
                </c:pt>
                <c:pt idx="1">
                  <c:v>15.941355</c:v>
                </c:pt>
                <c:pt idx="2">
                  <c:v>14.719495999999999</c:v>
                </c:pt>
              </c:numCache>
            </c:numRef>
          </c:val>
          <c:extLst>
            <c:ext xmlns:c16="http://schemas.microsoft.com/office/drawing/2014/chart" uri="{C3380CC4-5D6E-409C-BE32-E72D297353CC}">
              <c16:uniqueId val="{00000006-CFFB-6F44-A4AD-7BA8F7ACAE7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EFB-2D4C-B811-FB3C69AC2948}"/>
              </c:ext>
            </c:extLst>
          </c:dPt>
          <c:dPt>
            <c:idx val="1"/>
            <c:invertIfNegative val="0"/>
            <c:bubble3D val="0"/>
            <c:spPr>
              <a:solidFill>
                <a:srgbClr val="7030A0"/>
              </a:solidFill>
              <a:ln>
                <a:noFill/>
              </a:ln>
            </c:spPr>
            <c:extLst>
              <c:ext xmlns:c16="http://schemas.microsoft.com/office/drawing/2014/chart" uri="{C3380CC4-5D6E-409C-BE32-E72D297353CC}">
                <c16:uniqueId val="{00000003-EEFB-2D4C-B811-FB3C69AC294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EFB-2D4C-B811-FB3C69AC294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0.69777699999999998</c:v>
                </c:pt>
                <c:pt idx="1">
                  <c:v>0.76756899999999995</c:v>
                </c:pt>
                <c:pt idx="2">
                  <c:v>0.79502300000000004</c:v>
                </c:pt>
              </c:numCache>
            </c:numRef>
          </c:val>
          <c:extLst>
            <c:ext xmlns:c16="http://schemas.microsoft.com/office/drawing/2014/chart" uri="{C3380CC4-5D6E-409C-BE32-E72D297353CC}">
              <c16:uniqueId val="{00000006-EEFB-2D4C-B811-FB3C69AC294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387-F843-804D-FAC0A229C108}"/>
              </c:ext>
            </c:extLst>
          </c:dPt>
          <c:dPt>
            <c:idx val="1"/>
            <c:invertIfNegative val="0"/>
            <c:bubble3D val="0"/>
            <c:spPr>
              <a:solidFill>
                <a:srgbClr val="7030A0"/>
              </a:solidFill>
              <a:ln>
                <a:noFill/>
              </a:ln>
            </c:spPr>
            <c:extLst>
              <c:ext xmlns:c16="http://schemas.microsoft.com/office/drawing/2014/chart" uri="{C3380CC4-5D6E-409C-BE32-E72D297353CC}">
                <c16:uniqueId val="{00000003-B387-F843-804D-FAC0A229C10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387-F843-804D-FAC0A229C10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0.69629600000000003</c:v>
                </c:pt>
                <c:pt idx="1">
                  <c:v>0.77999300000000005</c:v>
                </c:pt>
                <c:pt idx="2">
                  <c:v>0.78396299999999997</c:v>
                </c:pt>
              </c:numCache>
            </c:numRef>
          </c:val>
          <c:extLst>
            <c:ext xmlns:c16="http://schemas.microsoft.com/office/drawing/2014/chart" uri="{C3380CC4-5D6E-409C-BE32-E72D297353CC}">
              <c16:uniqueId val="{00000006-B387-F843-804D-FAC0A229C10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F3A-1C4D-9DD8-D5A5BD6CDA35}"/>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0F3A-1C4D-9DD8-D5A5BD6CDA3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0.63700000000000001</c:v>
                </c:pt>
                <c:pt idx="1">
                  <c:v>0.75800000000000001</c:v>
                </c:pt>
              </c:numCache>
            </c:numRef>
          </c:val>
          <c:extLst>
            <c:ext xmlns:c16="http://schemas.microsoft.com/office/drawing/2014/chart" uri="{C3380CC4-5D6E-409C-BE32-E72D297353CC}">
              <c16:uniqueId val="{00000004-0F3A-1C4D-9DD8-D5A5BD6CDA3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05B-3D44-B232-C3AE50C22BAD}"/>
              </c:ext>
            </c:extLst>
          </c:dPt>
          <c:dPt>
            <c:idx val="1"/>
            <c:invertIfNegative val="0"/>
            <c:bubble3D val="0"/>
            <c:spPr>
              <a:solidFill>
                <a:srgbClr val="7030A0"/>
              </a:solidFill>
              <a:ln>
                <a:noFill/>
              </a:ln>
            </c:spPr>
            <c:extLst>
              <c:ext xmlns:c16="http://schemas.microsoft.com/office/drawing/2014/chart" uri="{C3380CC4-5D6E-409C-BE32-E72D297353CC}">
                <c16:uniqueId val="{00000003-005B-3D44-B232-C3AE50C22BA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05B-3D44-B232-C3AE50C22BA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0.89947100000000002</c:v>
                </c:pt>
                <c:pt idx="1">
                  <c:v>0.84612699999999996</c:v>
                </c:pt>
                <c:pt idx="2">
                  <c:v>0.86155899999999996</c:v>
                </c:pt>
              </c:numCache>
            </c:numRef>
          </c:val>
          <c:extLst>
            <c:ext xmlns:c16="http://schemas.microsoft.com/office/drawing/2014/chart" uri="{C3380CC4-5D6E-409C-BE32-E72D297353CC}">
              <c16:uniqueId val="{00000006-005B-3D44-B232-C3AE50C22BA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60B-FF49-A082-9B754C1A34DC}"/>
              </c:ext>
            </c:extLst>
          </c:dPt>
          <c:dPt>
            <c:idx val="1"/>
            <c:invertIfNegative val="0"/>
            <c:bubble3D val="0"/>
            <c:spPr>
              <a:solidFill>
                <a:srgbClr val="7030A0"/>
              </a:solidFill>
              <a:ln>
                <a:noFill/>
              </a:ln>
            </c:spPr>
            <c:extLst>
              <c:ext xmlns:c16="http://schemas.microsoft.com/office/drawing/2014/chart" uri="{C3380CC4-5D6E-409C-BE32-E72D297353CC}">
                <c16:uniqueId val="{00000003-E60B-FF49-A082-9B754C1A34D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60B-FF49-A082-9B754C1A34D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0.89241599999999999</c:v>
                </c:pt>
                <c:pt idx="1">
                  <c:v>0.84339399999999998</c:v>
                </c:pt>
                <c:pt idx="2">
                  <c:v>0.848943</c:v>
                </c:pt>
              </c:numCache>
            </c:numRef>
          </c:val>
          <c:extLst>
            <c:ext xmlns:c16="http://schemas.microsoft.com/office/drawing/2014/chart" uri="{C3380CC4-5D6E-409C-BE32-E72D297353CC}">
              <c16:uniqueId val="{00000006-E60B-FF49-A082-9B754C1A34D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E14-1747-967B-93802AA6DD6F}"/>
              </c:ext>
            </c:extLst>
          </c:dPt>
          <c:dPt>
            <c:idx val="1"/>
            <c:invertIfNegative val="0"/>
            <c:bubble3D val="0"/>
            <c:spPr>
              <a:solidFill>
                <a:srgbClr val="7030A0"/>
              </a:solidFill>
              <a:ln>
                <a:noFill/>
              </a:ln>
            </c:spPr>
            <c:extLst>
              <c:ext xmlns:c16="http://schemas.microsoft.com/office/drawing/2014/chart" uri="{C3380CC4-5D6E-409C-BE32-E72D297353CC}">
                <c16:uniqueId val="{00000003-BE14-1747-967B-93802AA6DD6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E14-1747-967B-93802AA6DD6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0.78800000000000003</c:v>
                </c:pt>
                <c:pt idx="1">
                  <c:v>0.73899999999999999</c:v>
                </c:pt>
                <c:pt idx="2">
                  <c:v>0.76900000000000002</c:v>
                </c:pt>
              </c:numCache>
            </c:numRef>
          </c:val>
          <c:extLst>
            <c:ext xmlns:c16="http://schemas.microsoft.com/office/drawing/2014/chart" uri="{C3380CC4-5D6E-409C-BE32-E72D297353CC}">
              <c16:uniqueId val="{00000006-BE14-1747-967B-93802AA6DD6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871-A549-9F86-44ECDC9EA34D}"/>
              </c:ext>
            </c:extLst>
          </c:dPt>
          <c:dPt>
            <c:idx val="1"/>
            <c:invertIfNegative val="0"/>
            <c:bubble3D val="0"/>
            <c:spPr>
              <a:solidFill>
                <a:srgbClr val="7030A0"/>
              </a:solidFill>
              <a:ln>
                <a:noFill/>
              </a:ln>
            </c:spPr>
            <c:extLst>
              <c:ext xmlns:c16="http://schemas.microsoft.com/office/drawing/2014/chart" uri="{C3380CC4-5D6E-409C-BE32-E72D297353CC}">
                <c16:uniqueId val="{00000003-F871-A549-9F86-44ECDC9EA34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871-A549-9F86-44ECDC9EA34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0.64100000000000001</c:v>
                </c:pt>
                <c:pt idx="1">
                  <c:v>0.67100000000000004</c:v>
                </c:pt>
                <c:pt idx="2">
                  <c:v>0.70399999999999996</c:v>
                </c:pt>
              </c:numCache>
            </c:numRef>
          </c:val>
          <c:extLst>
            <c:ext xmlns:c16="http://schemas.microsoft.com/office/drawing/2014/chart" uri="{C3380CC4-5D6E-409C-BE32-E72D297353CC}">
              <c16:uniqueId val="{00000006-F871-A549-9F86-44ECDC9EA34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34B-134C-8A2A-56964A6E7B13}"/>
              </c:ext>
            </c:extLst>
          </c:dPt>
          <c:dPt>
            <c:idx val="1"/>
            <c:invertIfNegative val="0"/>
            <c:bubble3D val="0"/>
            <c:spPr>
              <a:solidFill>
                <a:srgbClr val="7030A0"/>
              </a:solidFill>
              <a:ln>
                <a:noFill/>
              </a:ln>
            </c:spPr>
            <c:extLst>
              <c:ext xmlns:c16="http://schemas.microsoft.com/office/drawing/2014/chart" uri="{C3380CC4-5D6E-409C-BE32-E72D297353CC}">
                <c16:uniqueId val="{00000003-734B-134C-8A2A-56964A6E7B1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34B-134C-8A2A-56964A6E7B13}"/>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0.67600000000000005</c:v>
                </c:pt>
                <c:pt idx="1">
                  <c:v>0.66500000000000004</c:v>
                </c:pt>
                <c:pt idx="2">
                  <c:v>0.67600000000000005</c:v>
                </c:pt>
              </c:numCache>
            </c:numRef>
          </c:val>
          <c:extLst>
            <c:ext xmlns:c16="http://schemas.microsoft.com/office/drawing/2014/chart" uri="{C3380CC4-5D6E-409C-BE32-E72D297353CC}">
              <c16:uniqueId val="{00000006-734B-134C-8A2A-56964A6E7B1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292-7645-88D4-4431770DFD62}"/>
              </c:ext>
            </c:extLst>
          </c:dPt>
          <c:dPt>
            <c:idx val="1"/>
            <c:invertIfNegative val="0"/>
            <c:bubble3D val="0"/>
            <c:spPr>
              <a:solidFill>
                <a:srgbClr val="7030A0"/>
              </a:solidFill>
              <a:ln>
                <a:noFill/>
              </a:ln>
            </c:spPr>
            <c:extLst>
              <c:ext xmlns:c16="http://schemas.microsoft.com/office/drawing/2014/chart" uri="{C3380CC4-5D6E-409C-BE32-E72D297353CC}">
                <c16:uniqueId val="{00000003-1292-7645-88D4-4431770DFD6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292-7645-88D4-4431770DFD62}"/>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0.34200000000000003</c:v>
                </c:pt>
                <c:pt idx="1">
                  <c:v>0.52500000000000002</c:v>
                </c:pt>
                <c:pt idx="2">
                  <c:v>0.61599999999999999</c:v>
                </c:pt>
              </c:numCache>
            </c:numRef>
          </c:val>
          <c:extLst>
            <c:ext xmlns:c16="http://schemas.microsoft.com/office/drawing/2014/chart" uri="{C3380CC4-5D6E-409C-BE32-E72D297353CC}">
              <c16:uniqueId val="{00000006-1292-7645-88D4-4431770DFD6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latin typeface="Arial" panose="020B0604020202020204" pitchFamily="34" charset="0"/>
                <a:cs typeface="Arial" panose="020B0604020202020204" pitchFamily="34" charset="0"/>
              </a:rPr>
              <a:t>NAPLAN Learning</a:t>
            </a:r>
            <a:r>
              <a:rPr lang="en-AU" sz="900" b="1" baseline="0">
                <a:latin typeface="Arial" panose="020B0604020202020204" pitchFamily="34" charset="0"/>
                <a:cs typeface="Arial" panose="020B0604020202020204" pitchFamily="34" charset="0"/>
              </a:rPr>
              <a:t> Gain (latest year)</a:t>
            </a:r>
          </a:p>
          <a:p>
            <a:pPr>
              <a:defRPr sz="1400" b="0" i="0" u="none" strike="noStrike" kern="1200" spc="0" baseline="0">
                <a:solidFill>
                  <a:schemeClr val="tx1">
                    <a:lumMod val="65000"/>
                    <a:lumOff val="35000"/>
                  </a:schemeClr>
                </a:solidFill>
                <a:latin typeface="+mn-lt"/>
                <a:ea typeface="+mn-ea"/>
                <a:cs typeface="+mn-cs"/>
              </a:defRPr>
            </a:pPr>
            <a:r>
              <a:rPr lang="en-AU" sz="900" b="1" baseline="0">
                <a:latin typeface="Arial" panose="020B0604020202020204" pitchFamily="34" charset="0"/>
                <a:cs typeface="Arial" panose="020B0604020202020204" pitchFamily="34" charset="0"/>
              </a:rPr>
              <a:t>Year 3 - Year 5</a:t>
            </a:r>
            <a:endParaRPr lang="en-AU" sz="900" b="1">
              <a:latin typeface="Arial" panose="020B0604020202020204" pitchFamily="34" charset="0"/>
              <a:cs typeface="Arial" panose="020B0604020202020204" pitchFamily="34" charset="0"/>
            </a:endParaRPr>
          </a:p>
        </c:rich>
      </c:tx>
      <c:layout>
        <c:manualLayout>
          <c:xMode val="edge"/>
          <c:yMode val="edge"/>
          <c:x val="0.28861039234528513"/>
          <c:y val="2.7422303473491772E-2"/>
        </c:manualLayout>
      </c:layout>
      <c:overlay val="0"/>
      <c:spPr>
        <a:noFill/>
        <a:ln>
          <a:noFill/>
        </a:ln>
      </c:spPr>
    </c:title>
    <c:autoTitleDeleted val="0"/>
    <c:plotArea>
      <c:layout>
        <c:manualLayout>
          <c:layoutTarget val="inner"/>
          <c:xMode val="edge"/>
          <c:yMode val="edge"/>
          <c:x val="0.13730625525571438"/>
          <c:y val="0.15957500157841095"/>
          <c:w val="0.84476506956654696"/>
          <c:h val="0.64679203759323911"/>
        </c:manualLayout>
      </c:layout>
      <c:barChart>
        <c:barDir val="col"/>
        <c:grouping val="clustered"/>
        <c:varyColors val="0"/>
        <c:ser>
          <c:idx val="0"/>
          <c:order val="0"/>
          <c:tx>
            <c:strRef>
              <c:f>prisec!$C$111</c:f>
              <c:strCache>
                <c:ptCount val="1"/>
                <c:pt idx="0">
                  <c:v>Low Gain</c:v>
                </c:pt>
              </c:strCache>
            </c:strRef>
          </c:tx>
          <c:spPr>
            <a:pattFill prst="dkDn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prisec!$C$112:$C$116</c:f>
              <c:numCache>
                <c:formatCode>0%</c:formatCode>
                <c:ptCount val="5"/>
                <c:pt idx="0">
                  <c:v>0.45</c:v>
                </c:pt>
                <c:pt idx="1">
                  <c:v>0.41</c:v>
                </c:pt>
                <c:pt idx="2">
                  <c:v>0.32</c:v>
                </c:pt>
                <c:pt idx="3">
                  <c:v>0.32</c:v>
                </c:pt>
                <c:pt idx="4">
                  <c:v>0.45</c:v>
                </c:pt>
              </c:numCache>
            </c:numRef>
          </c:val>
          <c:extLst>
            <c:ext xmlns:c16="http://schemas.microsoft.com/office/drawing/2014/chart" uri="{C3380CC4-5D6E-409C-BE32-E72D297353CC}">
              <c16:uniqueId val="{00000000-C7B0-E34F-AF84-8797574D4534}"/>
            </c:ext>
          </c:extLst>
        </c:ser>
        <c:ser>
          <c:idx val="1"/>
          <c:order val="1"/>
          <c:tx>
            <c:strRef>
              <c:f>prisec!$D$111</c:f>
              <c:strCache>
                <c:ptCount val="1"/>
                <c:pt idx="0">
                  <c:v>Medium Gain</c:v>
                </c:pt>
              </c:strCache>
            </c:strRef>
          </c:tx>
          <c:spPr>
            <a:pattFill prst="pct90">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prisec!$D$112:$D$116</c:f>
              <c:numCache>
                <c:formatCode>0%</c:formatCode>
                <c:ptCount val="5"/>
                <c:pt idx="0">
                  <c:v>0.39</c:v>
                </c:pt>
                <c:pt idx="1">
                  <c:v>0.56999999999999995</c:v>
                </c:pt>
                <c:pt idx="2">
                  <c:v>0.5</c:v>
                </c:pt>
                <c:pt idx="3">
                  <c:v>0.55000000000000004</c:v>
                </c:pt>
                <c:pt idx="4">
                  <c:v>0.42</c:v>
                </c:pt>
              </c:numCache>
            </c:numRef>
          </c:val>
          <c:extLst>
            <c:ext xmlns:c16="http://schemas.microsoft.com/office/drawing/2014/chart" uri="{C3380CC4-5D6E-409C-BE32-E72D297353CC}">
              <c16:uniqueId val="{00000001-C7B0-E34F-AF84-8797574D4534}"/>
            </c:ext>
          </c:extLst>
        </c:ser>
        <c:ser>
          <c:idx val="2"/>
          <c:order val="2"/>
          <c:tx>
            <c:strRef>
              <c:f>prisec!$E$111</c:f>
              <c:strCache>
                <c:ptCount val="1"/>
                <c:pt idx="0">
                  <c:v>High Gain</c:v>
                </c:pt>
              </c:strCache>
            </c:strRef>
          </c:tx>
          <c:spPr>
            <a:pattFill prst="wdUp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prisec!$E$112:$E$116</c:f>
              <c:numCache>
                <c:formatCode>0%</c:formatCode>
                <c:ptCount val="5"/>
                <c:pt idx="0">
                  <c:v>0.16</c:v>
                </c:pt>
                <c:pt idx="1">
                  <c:v>0.03</c:v>
                </c:pt>
                <c:pt idx="2">
                  <c:v>0.18</c:v>
                </c:pt>
                <c:pt idx="3">
                  <c:v>0.13</c:v>
                </c:pt>
                <c:pt idx="4">
                  <c:v>0.13</c:v>
                </c:pt>
              </c:numCache>
            </c:numRef>
          </c:val>
          <c:extLst>
            <c:ext xmlns:c16="http://schemas.microsoft.com/office/drawing/2014/chart" uri="{C3380CC4-5D6E-409C-BE32-E72D297353CC}">
              <c16:uniqueId val="{00000002-C7B0-E34F-AF84-8797574D4534}"/>
            </c:ext>
          </c:extLst>
        </c:ser>
        <c:dLbls>
          <c:showLegendKey val="0"/>
          <c:showVal val="0"/>
          <c:showCatName val="0"/>
          <c:showSerName val="0"/>
          <c:showPercent val="0"/>
          <c:showBubbleSize val="0"/>
        </c:dLbls>
        <c:gapWidth val="100"/>
        <c:overlap val="-10"/>
        <c:axId val="1248794959"/>
        <c:axId val="1250540847"/>
      </c:barChart>
      <c:catAx>
        <c:axId val="124879495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50540847"/>
        <c:crosses val="autoZero"/>
        <c:auto val="1"/>
        <c:lblAlgn val="ctr"/>
        <c:lblOffset val="100"/>
        <c:noMultiLvlLbl val="0"/>
      </c:catAx>
      <c:valAx>
        <c:axId val="1250540847"/>
        <c:scaling>
          <c:orientation val="minMax"/>
          <c:max val="1"/>
          <c:min val="0"/>
        </c:scaling>
        <c:delete val="0"/>
        <c:axPos val="l"/>
        <c:majorGridlines>
          <c:spPr>
            <a:ln w="9525">
              <a:solidFill>
                <a:schemeClr val="tx1">
                  <a:lumMod val="15000"/>
                  <a:lumOff val="85000"/>
                </a:schemeClr>
              </a:solidFill>
              <a:round/>
            </a:ln>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Percent of students</a:t>
                </a:r>
              </a:p>
            </c:rich>
          </c:tx>
          <c:layout>
            <c:manualLayout>
              <c:xMode val="edge"/>
              <c:yMode val="edge"/>
              <c:x val="1.8406945187676785E-2"/>
              <c:y val="0.28489578085189077"/>
            </c:manualLayout>
          </c:layout>
          <c:overlay val="0"/>
          <c:spPr>
            <a:noFill/>
            <a:ln>
              <a:noFill/>
            </a:ln>
          </c:spPr>
        </c:title>
        <c:numFmt formatCode="0%" sourceLinked="1"/>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8794959"/>
        <c:crosses val="autoZero"/>
        <c:crossBetween val="between"/>
        <c:majorUnit val="0.2"/>
      </c:valAx>
      <c:spPr>
        <a:noFill/>
        <a:ln>
          <a:solidFill>
            <a:schemeClr val="bg1">
              <a:lumMod val="75000"/>
            </a:schemeClr>
          </a:solidFill>
        </a:ln>
      </c:spPr>
    </c:plotArea>
    <c:legend>
      <c:legendPos val="b"/>
      <c:layout>
        <c:manualLayout>
          <c:xMode val="edge"/>
          <c:yMode val="edge"/>
          <c:x val="7.0517114517238744E-2"/>
          <c:y val="0.90845638860359845"/>
          <c:w val="0.73680266225823698"/>
          <c:h val="7.7050857773213133E-2"/>
        </c:manualLayout>
      </c:layout>
      <c:overlay val="0"/>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Daniel Webber</cp:lastModifiedBy>
  <cp:revision>2</cp:revision>
  <dcterms:created xsi:type="dcterms:W3CDTF">2023-03-16T01:05:00Z</dcterms:created>
  <dcterms:modified xsi:type="dcterms:W3CDTF">2023-03-16T01:05:00Z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